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深圳市档案馆定制采购装裱修复设备综合评分表</w:t>
      </w:r>
    </w:p>
    <w:p>
      <w:pPr>
        <w:jc w:val="center"/>
        <w:rPr>
          <w:rFonts w:hint="eastAsia" w:ascii="华文中宋" w:hAnsi="华文中宋" w:eastAsia="华文中宋" w:cs="华文中宋"/>
          <w:sz w:val="36"/>
          <w:szCs w:val="36"/>
          <w:lang w:eastAsia="zh-CN"/>
        </w:rPr>
      </w:pPr>
      <w:bookmarkStart w:id="0" w:name="_GoBack"/>
      <w:bookmarkEnd w:id="0"/>
    </w:p>
    <w:tbl>
      <w:tblPr>
        <w:tblStyle w:val="2"/>
        <w:tblW w:w="9941"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41"/>
        <w:gridCol w:w="38"/>
        <w:gridCol w:w="45"/>
        <w:gridCol w:w="190"/>
        <w:gridCol w:w="5655"/>
        <w:gridCol w:w="904"/>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92" w:hRule="atLeast"/>
        </w:trPr>
        <w:tc>
          <w:tcPr>
            <w:tcW w:w="241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sz w:val="24"/>
                <w:szCs w:val="24"/>
                <w:lang w:val="en-US"/>
              </w:rPr>
            </w:pPr>
            <w:r>
              <w:rPr>
                <w:rFonts w:hint="eastAsia" w:ascii="仿宋_GB2312" w:hAnsi="宋体" w:eastAsia="仿宋_GB2312" w:cs="仿宋_GB2312"/>
                <w:b/>
                <w:bCs/>
                <w:kern w:val="2"/>
                <w:sz w:val="24"/>
                <w:szCs w:val="24"/>
                <w:lang w:val="en-US" w:eastAsia="zh-CN" w:bidi="ar"/>
              </w:rPr>
              <w:t>评审因素</w:t>
            </w:r>
          </w:p>
        </w:tc>
        <w:tc>
          <w:tcPr>
            <w:tcW w:w="56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sz w:val="24"/>
                <w:szCs w:val="24"/>
                <w:lang w:val="en-US"/>
              </w:rPr>
            </w:pPr>
            <w:r>
              <w:rPr>
                <w:rFonts w:hint="eastAsia" w:ascii="仿宋_GB2312" w:hAnsi="宋体" w:eastAsia="仿宋_GB2312" w:cs="仿宋_GB2312"/>
                <w:b/>
                <w:bCs/>
                <w:kern w:val="2"/>
                <w:sz w:val="24"/>
                <w:szCs w:val="24"/>
                <w:lang w:val="en-US" w:eastAsia="zh-CN" w:bidi="ar"/>
              </w:rPr>
              <w:t>评分细则</w:t>
            </w:r>
          </w:p>
        </w:tc>
        <w:tc>
          <w:tcPr>
            <w:tcW w:w="9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sz w:val="24"/>
                <w:szCs w:val="24"/>
                <w:lang w:val="en-US"/>
              </w:rPr>
            </w:pPr>
            <w:r>
              <w:rPr>
                <w:rFonts w:hint="eastAsia" w:ascii="仿宋_GB2312" w:hAnsi="宋体" w:eastAsia="仿宋_GB2312" w:cs="仿宋_GB2312"/>
                <w:b/>
                <w:bCs/>
                <w:kern w:val="2"/>
                <w:sz w:val="24"/>
                <w:szCs w:val="24"/>
                <w:lang w:val="en-US" w:eastAsia="zh-CN" w:bidi="ar"/>
              </w:rPr>
              <w:t>权重</w:t>
            </w:r>
          </w:p>
        </w:tc>
        <w:tc>
          <w:tcPr>
            <w:tcW w:w="9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sz w:val="24"/>
                <w:szCs w:val="24"/>
                <w:lang w:val="en-US"/>
              </w:rPr>
            </w:pPr>
            <w:r>
              <w:rPr>
                <w:rFonts w:hint="eastAsia" w:ascii="仿宋_GB2312" w:hAnsi="宋体" w:eastAsia="仿宋_GB2312" w:cs="仿宋_GB2312"/>
                <w:b/>
                <w:bCs/>
                <w:kern w:val="2"/>
                <w:sz w:val="24"/>
                <w:szCs w:val="24"/>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9941"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24"/>
                <w:szCs w:val="24"/>
                <w:lang w:val="en-US"/>
              </w:rPr>
            </w:pPr>
            <w:r>
              <w:rPr>
                <w:rFonts w:hint="eastAsia" w:ascii="仿宋_GB2312" w:hAnsi="宋体" w:eastAsia="仿宋_GB2312" w:cs="仿宋_GB2312"/>
                <w:b/>
                <w:bCs/>
                <w:kern w:val="2"/>
                <w:sz w:val="24"/>
                <w:szCs w:val="24"/>
                <w:lang w:val="en-US" w:eastAsia="zh-CN" w:bidi="ar"/>
              </w:rPr>
              <w:t>技术部分（65分）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2224"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sz w:val="24"/>
                <w:szCs w:val="24"/>
                <w:lang w:val="en-US"/>
              </w:rPr>
            </w:pPr>
            <w:r>
              <w:rPr>
                <w:rFonts w:hint="eastAsia" w:ascii="仿宋_GB2312" w:hAnsi="宋体" w:eastAsia="仿宋_GB2312" w:cs="仿宋_GB2312"/>
                <w:b/>
                <w:bCs/>
                <w:kern w:val="2"/>
                <w:sz w:val="24"/>
                <w:szCs w:val="24"/>
                <w:lang w:val="en-US" w:eastAsia="zh-CN" w:bidi="ar"/>
              </w:rPr>
              <w:t>招标文件整体评介</w:t>
            </w:r>
          </w:p>
        </w:tc>
        <w:tc>
          <w:tcPr>
            <w:tcW w:w="584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根据招标文件的需求和投标文件响应情况对各投标人提交的标书进行横向比较，分档评分：评价为优得80%-100%分数；评价为良得60%-80%分数；评价为中得30%-60%分数；评价为差不得分。</w:t>
            </w:r>
          </w:p>
        </w:tc>
        <w:tc>
          <w:tcPr>
            <w:tcW w:w="9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10%</w:t>
            </w:r>
          </w:p>
        </w:tc>
        <w:tc>
          <w:tcPr>
            <w:tcW w:w="9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224"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sz w:val="24"/>
                <w:szCs w:val="24"/>
                <w:lang w:val="en-US"/>
              </w:rPr>
            </w:pPr>
            <w:r>
              <w:rPr>
                <w:rFonts w:hint="eastAsia" w:ascii="仿宋_GB2312" w:hAnsi="宋体" w:eastAsia="仿宋_GB2312" w:cs="仿宋_GB2312"/>
                <w:b/>
                <w:bCs/>
                <w:kern w:val="2"/>
                <w:sz w:val="24"/>
                <w:szCs w:val="24"/>
                <w:lang w:val="en-US" w:eastAsia="zh-CN" w:bidi="ar"/>
              </w:rPr>
              <w:t>装裱修复设备制作工艺情况比较</w:t>
            </w:r>
          </w:p>
        </w:tc>
        <w:tc>
          <w:tcPr>
            <w:tcW w:w="584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对各投标人提交的投标文件中关于装裱修复设备制作工艺情况陈述以及提供的佐证材料进行横向综合比较，分档评分，评价为优得80%-100%分数；评价为良得60%-80%分数；评价为中得30%-60%分数；评价为差不得分。</w:t>
            </w:r>
          </w:p>
        </w:tc>
        <w:tc>
          <w:tcPr>
            <w:tcW w:w="9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50%</w:t>
            </w:r>
          </w:p>
        </w:tc>
        <w:tc>
          <w:tcPr>
            <w:tcW w:w="9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224"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sz w:val="24"/>
                <w:szCs w:val="24"/>
                <w:lang w:val="en-US"/>
              </w:rPr>
            </w:pPr>
            <w:r>
              <w:rPr>
                <w:rFonts w:hint="eastAsia" w:ascii="仿宋_GB2312" w:hAnsi="宋体" w:eastAsia="仿宋_GB2312" w:cs="仿宋_GB2312"/>
                <w:b/>
                <w:bCs/>
                <w:kern w:val="2"/>
                <w:sz w:val="24"/>
                <w:szCs w:val="24"/>
                <w:lang w:val="en-US" w:eastAsia="zh-CN" w:bidi="ar"/>
              </w:rPr>
              <w:t>后续维保服务</w:t>
            </w:r>
          </w:p>
        </w:tc>
        <w:tc>
          <w:tcPr>
            <w:tcW w:w="5845"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仿宋_GB2312" w:hAnsi="宋体" w:eastAsia="仿宋_GB2312" w:cs="仿宋_GB2312"/>
                <w:sz w:val="24"/>
                <w:szCs w:val="24"/>
                <w:lang w:val="en-US" w:eastAsia="zh-CN"/>
              </w:rPr>
            </w:pPr>
            <w:r>
              <w:rPr>
                <w:rFonts w:hint="eastAsia" w:ascii="仿宋_GB2312" w:hAnsi="宋体" w:eastAsia="仿宋_GB2312" w:cs="仿宋_GB2312"/>
                <w:color w:val="auto"/>
                <w:kern w:val="2"/>
                <w:sz w:val="24"/>
                <w:szCs w:val="24"/>
                <w:lang w:val="en-US" w:eastAsia="zh-CN" w:bidi="ar"/>
              </w:rPr>
              <w:t>根据招标文件的需求和投标文件响应情况对各投标人提交的标书关于产品质量及后续维保服务的承诺进行横向比较，承诺提供免费上门维修保期10年（含），每超过1年，得1分，最高得5分。</w:t>
            </w:r>
          </w:p>
        </w:tc>
        <w:tc>
          <w:tcPr>
            <w:tcW w:w="9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5%</w:t>
            </w:r>
          </w:p>
        </w:tc>
        <w:tc>
          <w:tcPr>
            <w:tcW w:w="9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941"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24"/>
                <w:szCs w:val="24"/>
                <w:lang w:val="en-US"/>
              </w:rPr>
            </w:pPr>
            <w:r>
              <w:rPr>
                <w:rFonts w:hint="eastAsia" w:ascii="仿宋_GB2312" w:hAnsi="宋体" w:eastAsia="仿宋_GB2312" w:cs="仿宋_GB2312"/>
                <w:b/>
                <w:bCs/>
                <w:kern w:val="2"/>
                <w:sz w:val="24"/>
                <w:szCs w:val="24"/>
                <w:lang w:val="en-US" w:eastAsia="zh-CN" w:bidi="ar"/>
              </w:rPr>
              <w:t>商务部分（15分）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17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sz w:val="24"/>
                <w:szCs w:val="24"/>
                <w:lang w:val="en-US"/>
              </w:rPr>
            </w:pPr>
            <w:r>
              <w:rPr>
                <w:rFonts w:hint="eastAsia" w:ascii="仿宋_GB2312" w:hAnsi="宋体" w:eastAsia="仿宋_GB2312" w:cs="仿宋_GB2312"/>
                <w:b/>
                <w:bCs/>
                <w:kern w:val="2"/>
                <w:sz w:val="24"/>
                <w:szCs w:val="24"/>
                <w:lang w:val="en-US" w:eastAsia="zh-CN" w:bidi="ar"/>
              </w:rPr>
              <w:t>同类项目业绩</w:t>
            </w:r>
          </w:p>
        </w:tc>
        <w:tc>
          <w:tcPr>
            <w:tcW w:w="589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24"/>
                <w:szCs w:val="24"/>
                <w:lang w:val="en-US"/>
              </w:rPr>
            </w:pPr>
            <w:r>
              <w:rPr>
                <w:rFonts w:hint="eastAsia" w:ascii="仿宋_GB2312" w:hAnsi="宋体" w:eastAsia="仿宋_GB2312" w:cs="仿宋_GB2312"/>
                <w:color w:val="auto"/>
                <w:kern w:val="2"/>
                <w:sz w:val="24"/>
                <w:szCs w:val="24"/>
                <w:lang w:val="en-US" w:eastAsia="zh-CN" w:bidi="ar"/>
              </w:rPr>
              <w:t>提供为全国地市级以上档案馆、博物馆、图书馆或较大型字画修裱机构、文物档案保护机构承接制作装裱台案和字画裱糊木制板墙的类似案例2个（含），每超过1个，得1分，最高10分。案例需提交中标通知书或合同关键页，不提供不得分。</w:t>
            </w:r>
          </w:p>
        </w:tc>
        <w:tc>
          <w:tcPr>
            <w:tcW w:w="9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10%</w:t>
            </w:r>
          </w:p>
        </w:tc>
        <w:tc>
          <w:tcPr>
            <w:tcW w:w="9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217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sz w:val="24"/>
                <w:szCs w:val="24"/>
                <w:lang w:val="en-US"/>
              </w:rPr>
            </w:pPr>
            <w:r>
              <w:rPr>
                <w:rFonts w:hint="eastAsia" w:ascii="仿宋_GB2312" w:hAnsi="宋体" w:eastAsia="仿宋_GB2312" w:cs="仿宋_GB2312"/>
                <w:b/>
                <w:bCs/>
                <w:kern w:val="2"/>
                <w:sz w:val="24"/>
                <w:szCs w:val="24"/>
                <w:lang w:val="en-US" w:eastAsia="zh-CN" w:bidi="ar"/>
              </w:rPr>
              <w:t>违约责任</w:t>
            </w:r>
          </w:p>
        </w:tc>
        <w:tc>
          <w:tcPr>
            <w:tcW w:w="589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投标人做出“如未按投标文件服务方案及招标方的相关规定做好项目服务工作的，将承担所有的由其违约而造成的责任”承诺的，得2分。</w:t>
            </w:r>
          </w:p>
        </w:tc>
        <w:tc>
          <w:tcPr>
            <w:tcW w:w="9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2%</w:t>
            </w:r>
          </w:p>
        </w:tc>
        <w:tc>
          <w:tcPr>
            <w:tcW w:w="9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17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sz w:val="24"/>
                <w:szCs w:val="24"/>
                <w:lang w:val="en-US"/>
              </w:rPr>
            </w:pPr>
            <w:r>
              <w:rPr>
                <w:rFonts w:hint="eastAsia" w:ascii="仿宋_GB2312" w:hAnsi="宋体" w:eastAsia="仿宋_GB2312" w:cs="仿宋_GB2312"/>
                <w:b/>
                <w:bCs/>
                <w:kern w:val="2"/>
                <w:sz w:val="24"/>
                <w:szCs w:val="24"/>
                <w:lang w:val="en-US" w:eastAsia="zh-CN" w:bidi="ar"/>
              </w:rPr>
              <w:t>履约评价情况</w:t>
            </w:r>
          </w:p>
        </w:tc>
        <w:tc>
          <w:tcPr>
            <w:tcW w:w="5890"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投标人提供政府采购项目或其他项目由采购方提供的履约评价证明，提供 1个履约评价为“优”的案例得1分，最高3分，无法提供不得分。</w:t>
            </w:r>
          </w:p>
        </w:tc>
        <w:tc>
          <w:tcPr>
            <w:tcW w:w="9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3%</w:t>
            </w:r>
          </w:p>
        </w:tc>
        <w:tc>
          <w:tcPr>
            <w:tcW w:w="9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941"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24"/>
                <w:szCs w:val="24"/>
                <w:lang w:val="en-US"/>
              </w:rPr>
            </w:pPr>
            <w:r>
              <w:rPr>
                <w:rFonts w:hint="eastAsia" w:ascii="仿宋_GB2312" w:hAnsi="宋体" w:eastAsia="仿宋_GB2312" w:cs="仿宋_GB2312"/>
                <w:b/>
                <w:bCs/>
                <w:kern w:val="2"/>
                <w:sz w:val="24"/>
                <w:szCs w:val="24"/>
                <w:lang w:val="en-US" w:eastAsia="zh-CN" w:bidi="ar"/>
              </w:rPr>
              <w:t>价格部分（20分）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1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b/>
                <w:bCs/>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b/>
                <w:bCs/>
                <w:sz w:val="24"/>
                <w:szCs w:val="24"/>
                <w:lang w:val="en-US"/>
              </w:rPr>
            </w:pPr>
            <w:r>
              <w:rPr>
                <w:rFonts w:hint="eastAsia" w:ascii="仿宋_GB2312" w:hAnsi="宋体" w:eastAsia="仿宋_GB2312" w:cs="仿宋_GB2312"/>
                <w:b/>
                <w:bCs/>
                <w:kern w:val="2"/>
                <w:sz w:val="24"/>
                <w:szCs w:val="24"/>
                <w:lang w:val="en-US" w:eastAsia="zh-CN" w:bidi="ar"/>
              </w:rPr>
              <w:t>投标报价</w:t>
            </w:r>
          </w:p>
        </w:tc>
        <w:tc>
          <w:tcPr>
            <w:tcW w:w="5928"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价格分应当采用低价优先计算，即满足招标文件要求且投标价格最低的投标价为评标基准价，其价格分为满分。其他投标人的价格分统一按照下列公式计算：投标报价得分=(评价基准价/投标报价)</w:t>
            </w:r>
            <w:r>
              <w:rPr>
                <w:rFonts w:hint="default" w:ascii="Arial" w:hAnsi="Arial" w:eastAsia="仿宋_GB2312" w:cs="Arial"/>
                <w:sz w:val="30"/>
                <w:szCs w:val="30"/>
              </w:rPr>
              <w:t>×</w:t>
            </w:r>
            <w:r>
              <w:rPr>
                <w:rFonts w:hint="eastAsia" w:ascii="仿宋_GB2312" w:hAnsi="宋体" w:eastAsia="仿宋_GB2312" w:cs="仿宋_GB2312"/>
                <w:kern w:val="2"/>
                <w:sz w:val="24"/>
                <w:szCs w:val="24"/>
                <w:lang w:val="en-US" w:eastAsia="zh-CN" w:bidi="ar"/>
              </w:rPr>
              <w:t xml:space="preserve"> 100 </w:t>
            </w:r>
            <w:r>
              <w:rPr>
                <w:rFonts w:hint="default" w:ascii="Arial" w:hAnsi="Arial" w:eastAsia="仿宋_GB2312" w:cs="Arial"/>
                <w:sz w:val="30"/>
                <w:szCs w:val="30"/>
              </w:rPr>
              <w:t>×</w:t>
            </w:r>
            <w:r>
              <w:rPr>
                <w:rFonts w:hint="eastAsia" w:ascii="仿宋_GB2312" w:hAnsi="宋体" w:eastAsia="仿宋_GB2312" w:cs="仿宋_GB2312"/>
                <w:kern w:val="2"/>
                <w:sz w:val="24"/>
                <w:szCs w:val="24"/>
                <w:lang w:val="en-US" w:eastAsia="zh-CN" w:bidi="ar"/>
              </w:rPr>
              <w:t>权重</w:t>
            </w:r>
          </w:p>
          <w:p>
            <w:pPr>
              <w:keepNext w:val="0"/>
              <w:keepLines w:val="0"/>
              <w:widowControl/>
              <w:suppressLineNumbers w:val="0"/>
              <w:spacing w:before="0" w:beforeAutospacing="0" w:after="0" w:afterAutospacing="0"/>
              <w:ind w:left="0" w:right="0"/>
              <w:jc w:val="left"/>
              <w:rPr>
                <w:rFonts w:hint="eastAsia" w:ascii="宋体" w:hAnsi="宋体" w:eastAsia="宋体" w:cs="宋体"/>
                <w:sz w:val="24"/>
                <w:szCs w:val="24"/>
                <w:lang w:val="en-US"/>
              </w:rPr>
            </w:pPr>
            <w:r>
              <w:rPr>
                <w:rFonts w:hint="eastAsia" w:ascii="仿宋_GB2312" w:hAnsi="宋体" w:eastAsia="仿宋_GB2312" w:cs="仿宋_GB2312"/>
                <w:b/>
                <w:bCs/>
                <w:kern w:val="2"/>
                <w:sz w:val="24"/>
                <w:szCs w:val="24"/>
                <w:lang w:val="en-US" w:eastAsia="zh-CN" w:bidi="ar"/>
              </w:rPr>
              <w:t>备注：投标报价得分四舍五入后，小数点后保留两位有效数。</w:t>
            </w: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24"/>
                <w:szCs w:val="24"/>
                <w:lang w:val="en-US"/>
              </w:rPr>
            </w:pPr>
          </w:p>
        </w:tc>
        <w:tc>
          <w:tcPr>
            <w:tcW w:w="9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eastAsia" w:ascii="仿宋_GB2312" w:hAnsi="宋体" w:eastAsia="仿宋_GB2312" w:cs="仿宋_GB2312"/>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20%</w:t>
            </w:r>
          </w:p>
        </w:tc>
        <w:tc>
          <w:tcPr>
            <w:tcW w:w="9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仿宋_GB2312"/>
                <w:kern w:val="2"/>
                <w:sz w:val="24"/>
                <w:szCs w:val="24"/>
                <w:lang w:val="en-US" w:eastAsia="zh-CN" w:bidi="ar"/>
              </w:rPr>
            </w:pPr>
          </w:p>
          <w:p>
            <w:pPr>
              <w:keepNext w:val="0"/>
              <w:keepLines w:val="0"/>
              <w:widowControl/>
              <w:suppressLineNumbers w:val="0"/>
              <w:spacing w:before="0" w:beforeAutospacing="0" w:after="0" w:afterAutospacing="0"/>
              <w:ind w:left="0" w:right="0"/>
              <w:jc w:val="center"/>
              <w:rPr>
                <w:rFonts w:hint="eastAsia" w:ascii="仿宋_GB2312" w:hAnsi="宋体" w:eastAsia="仿宋_GB2312" w:cs="仿宋_GB2312"/>
                <w:sz w:val="24"/>
                <w:szCs w:val="24"/>
                <w:lang w:val="en-US"/>
              </w:rPr>
            </w:pPr>
            <w:r>
              <w:rPr>
                <w:rFonts w:hint="eastAsia" w:ascii="仿宋_GB2312" w:hAnsi="宋体" w:eastAsia="仿宋_GB2312" w:cs="仿宋_GB2312"/>
                <w:kern w:val="2"/>
                <w:sz w:val="24"/>
                <w:szCs w:val="24"/>
                <w:lang w:val="en-US" w:eastAsia="zh-CN" w:bidi="ar"/>
              </w:rPr>
              <w:t>20分</w:t>
            </w:r>
          </w:p>
          <w:p>
            <w:pPr>
              <w:keepNext w:val="0"/>
              <w:keepLines w:val="0"/>
              <w:widowControl w:val="0"/>
              <w:suppressLineNumbers w:val="0"/>
              <w:spacing w:before="0" w:beforeAutospacing="0" w:after="0" w:afterAutospacing="0"/>
              <w:ind w:left="0" w:right="0"/>
              <w:jc w:val="center"/>
              <w:rPr>
                <w:rFonts w:hint="eastAsia" w:ascii="仿宋_GB2312" w:hAnsi="宋体"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069"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24"/>
                <w:szCs w:val="24"/>
                <w:lang w:val="en-US"/>
              </w:rPr>
            </w:pPr>
          </w:p>
        </w:tc>
        <w:tc>
          <w:tcPr>
            <w:tcW w:w="9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100%</w:t>
            </w:r>
          </w:p>
        </w:tc>
        <w:tc>
          <w:tcPr>
            <w:tcW w:w="9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仿宋_GB2312" w:hAnsi="宋体" w:eastAsia="仿宋_GB2312" w:cs="仿宋_GB2312"/>
                <w:sz w:val="24"/>
                <w:szCs w:val="24"/>
                <w:lang w:val="en-US" w:eastAsia="zh-CN"/>
              </w:rPr>
            </w:pPr>
            <w:r>
              <w:rPr>
                <w:rFonts w:hint="eastAsia" w:ascii="仿宋_GB2312" w:hAnsi="宋体" w:eastAsia="仿宋_GB2312" w:cs="仿宋_GB2312"/>
                <w:sz w:val="24"/>
                <w:szCs w:val="24"/>
                <w:lang w:val="en-US" w:eastAsia="zh-CN"/>
              </w:rPr>
              <w:t>100分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25BC9"/>
    <w:rsid w:val="4242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2021-08-11T09:45:00Z</dcterms:created>
  <dc:creator>曹清泉</dc:creator>
  <cp:lastModifiedBy>曹清泉</cp:lastModifiedBy>
  <dcterms:modified xsi:type="dcterms:W3CDTF">2021-08-11T09:46:40Z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