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770"/>
        </w:tabs>
        <w:kinsoku/>
        <w:wordWrap/>
        <w:overflowPunct/>
        <w:topLinePunct w:val="0"/>
        <w:autoSpaceDE/>
        <w:autoSpaceDN/>
        <w:bidi w:val="0"/>
        <w:adjustRightInd/>
        <w:snapToGrid/>
        <w:spacing w:before="157" w:beforeLines="50" w:after="157" w:afterLines="50" w:line="5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left" w:pos="7770"/>
        </w:tabs>
        <w:kinsoku/>
        <w:wordWrap/>
        <w:overflowPunct/>
        <w:topLinePunct w:val="0"/>
        <w:autoSpaceDE/>
        <w:autoSpaceDN/>
        <w:bidi w:val="0"/>
        <w:adjustRightInd/>
        <w:snapToGrid/>
        <w:spacing w:before="157" w:beforeLines="50" w:after="157" w:afterLines="50" w:line="5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left" w:pos="7770"/>
        </w:tabs>
        <w:kinsoku/>
        <w:wordWrap/>
        <w:overflowPunct/>
        <w:topLinePunct w:val="0"/>
        <w:autoSpaceDE/>
        <w:autoSpaceDN/>
        <w:bidi w:val="0"/>
        <w:adjustRightInd/>
        <w:snapToGrid/>
        <w:spacing w:before="157" w:beforeLines="50" w:after="157" w:afterLines="50"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深圳市档案馆2021年信息化日常维护项目招标文件</w:t>
      </w:r>
    </w:p>
    <w:p>
      <w:pPr>
        <w:pStyle w:val="2"/>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pStyle w:val="2"/>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pStyle w:val="2"/>
        <w:rPr>
          <w:rFonts w:hint="eastAsia"/>
          <w:lang w:val="en-US" w:eastAsia="zh-CN"/>
        </w:rPr>
      </w:pPr>
    </w:p>
    <w:p>
      <w:pPr>
        <w:rPr>
          <w:rFonts w:hint="eastAsia" w:ascii="方正小标宋简体" w:hAnsi="方正小标宋简体" w:eastAsia="方正小标宋简体" w:cs="方正小标宋简体"/>
          <w:sz w:val="44"/>
          <w:szCs w:val="44"/>
          <w:lang w:val="en-US" w:eastAsia="zh-CN"/>
        </w:rPr>
      </w:pPr>
    </w:p>
    <w:p>
      <w:pPr>
        <w:pStyle w:val="2"/>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bidi w:val="0"/>
        <w:jc w:val="center"/>
        <w:rPr>
          <w:rFonts w:hint="eastAsia"/>
          <w:sz w:val="32"/>
          <w:szCs w:val="40"/>
          <w:lang w:val="en-US" w:eastAsia="zh-CN"/>
        </w:rPr>
      </w:pPr>
    </w:p>
    <w:p>
      <w:pPr>
        <w:bidi w:val="0"/>
        <w:jc w:val="center"/>
        <w:rPr>
          <w:rFonts w:hint="default"/>
          <w:sz w:val="32"/>
          <w:szCs w:val="40"/>
          <w:lang w:val="en-US" w:eastAsia="zh-CN"/>
        </w:rPr>
      </w:pPr>
      <w:r>
        <w:rPr>
          <w:rFonts w:hint="eastAsia"/>
          <w:sz w:val="32"/>
          <w:szCs w:val="40"/>
          <w:lang w:val="en-US" w:eastAsia="zh-CN"/>
        </w:rPr>
        <w:t>2021年1月</w:t>
      </w:r>
    </w:p>
    <w:p>
      <w:pPr>
        <w:rPr>
          <w:rFonts w:hint="eastAsia"/>
          <w:lang w:val="en-US" w:eastAsia="zh-CN"/>
        </w:rPr>
      </w:pPr>
      <w:r>
        <w:rPr>
          <w:rFonts w:hint="eastAsia"/>
          <w:lang w:val="en-US" w:eastAsia="zh-CN"/>
        </w:rPr>
        <w:br w:type="page"/>
      </w:r>
    </w:p>
    <w:p>
      <w:pPr>
        <w:pStyle w:val="10"/>
        <w:tabs>
          <w:tab w:val="right" w:leader="dot" w:pos="8306"/>
        </w:tabs>
        <w:jc w:val="center"/>
        <w:rPr>
          <w:rFonts w:hint="default"/>
          <w:sz w:val="40"/>
          <w:szCs w:val="48"/>
          <w:lang w:val="en-US" w:eastAsia="zh-CN"/>
        </w:rPr>
      </w:pPr>
      <w:r>
        <w:rPr>
          <w:rFonts w:hint="eastAsia"/>
          <w:sz w:val="40"/>
          <w:szCs w:val="48"/>
          <w:lang w:val="en-US" w:eastAsia="zh-CN"/>
        </w:rPr>
        <w:t>目录</w:t>
      </w:r>
    </w:p>
    <w:p>
      <w:pPr>
        <w:pStyle w:val="10"/>
        <w:tabs>
          <w:tab w:val="right" w:leader="dot" w:pos="8306"/>
        </w:tabs>
      </w:pPr>
      <w:r>
        <w:rPr>
          <w:rFonts w:hint="eastAsia"/>
          <w:sz w:val="24"/>
          <w:szCs w:val="24"/>
          <w:lang w:val="en-US" w:eastAsia="zh-CN"/>
        </w:rPr>
        <w:fldChar w:fldCharType="begin"/>
      </w:r>
      <w:r>
        <w:rPr>
          <w:rFonts w:hint="eastAsia"/>
          <w:sz w:val="24"/>
          <w:szCs w:val="24"/>
          <w:lang w:val="en-US" w:eastAsia="zh-CN"/>
        </w:rPr>
        <w:instrText xml:space="preserve"> TOC \* MERGEFORMAT </w:instrText>
      </w:r>
      <w:r>
        <w:rPr>
          <w:rFonts w:hint="eastAsia"/>
          <w:sz w:val="24"/>
          <w:szCs w:val="24"/>
          <w:lang w:val="en-US" w:eastAsia="zh-CN"/>
        </w:rPr>
        <w:fldChar w:fldCharType="separate"/>
      </w:r>
      <w:r>
        <w:rPr>
          <w:rFonts w:hint="eastAsia"/>
          <w:szCs w:val="20"/>
          <w:lang w:val="en-US" w:eastAsia="zh-CN"/>
        </w:rPr>
        <w:t>一、 项目概况</w:t>
      </w:r>
      <w:r>
        <w:tab/>
      </w:r>
      <w:r>
        <w:fldChar w:fldCharType="begin"/>
      </w:r>
      <w:r>
        <w:instrText xml:space="preserve"> PAGEREF _Toc17902 </w:instrText>
      </w:r>
      <w:r>
        <w:fldChar w:fldCharType="separate"/>
      </w:r>
      <w:r>
        <w:t>1</w:t>
      </w:r>
      <w:r>
        <w:fldChar w:fldCharType="end"/>
      </w:r>
    </w:p>
    <w:p>
      <w:pPr>
        <w:pStyle w:val="10"/>
        <w:tabs>
          <w:tab w:val="right" w:leader="dot" w:pos="8306"/>
        </w:tabs>
      </w:pPr>
      <w:r>
        <w:rPr>
          <w:rFonts w:hint="eastAsia"/>
          <w:szCs w:val="20"/>
          <w:lang w:val="en-US" w:eastAsia="zh-CN"/>
        </w:rPr>
        <w:t>二、 项目预算</w:t>
      </w:r>
      <w:r>
        <w:tab/>
      </w:r>
      <w:r>
        <w:fldChar w:fldCharType="begin"/>
      </w:r>
      <w:r>
        <w:instrText xml:space="preserve"> PAGEREF _Toc30977 </w:instrText>
      </w:r>
      <w:r>
        <w:fldChar w:fldCharType="separate"/>
      </w:r>
      <w:r>
        <w:t>1</w:t>
      </w:r>
      <w:r>
        <w:fldChar w:fldCharType="end"/>
      </w:r>
    </w:p>
    <w:p>
      <w:pPr>
        <w:pStyle w:val="10"/>
        <w:tabs>
          <w:tab w:val="right" w:leader="dot" w:pos="8306"/>
        </w:tabs>
      </w:pPr>
      <w:r>
        <w:rPr>
          <w:rFonts w:hint="eastAsia"/>
          <w:szCs w:val="20"/>
          <w:lang w:val="en-US" w:eastAsia="zh-CN"/>
        </w:rPr>
        <w:t>三、 投标人资质要求</w:t>
      </w:r>
      <w:r>
        <w:tab/>
      </w:r>
      <w:r>
        <w:fldChar w:fldCharType="begin"/>
      </w:r>
      <w:r>
        <w:instrText xml:space="preserve"> PAGEREF _Toc20882 </w:instrText>
      </w:r>
      <w:r>
        <w:fldChar w:fldCharType="separate"/>
      </w:r>
      <w:r>
        <w:t>1</w:t>
      </w:r>
      <w:r>
        <w:fldChar w:fldCharType="end"/>
      </w:r>
    </w:p>
    <w:p>
      <w:pPr>
        <w:pStyle w:val="10"/>
        <w:tabs>
          <w:tab w:val="right" w:leader="dot" w:pos="8306"/>
        </w:tabs>
      </w:pPr>
      <w:r>
        <w:rPr>
          <w:rFonts w:hint="eastAsia"/>
          <w:szCs w:val="20"/>
          <w:lang w:val="en-US" w:eastAsia="zh-CN"/>
        </w:rPr>
        <w:t>四、 服务内容</w:t>
      </w:r>
      <w:r>
        <w:tab/>
      </w:r>
      <w:r>
        <w:fldChar w:fldCharType="begin"/>
      </w:r>
      <w:r>
        <w:instrText xml:space="preserve"> PAGEREF _Toc9457 </w:instrText>
      </w:r>
      <w:r>
        <w:fldChar w:fldCharType="separate"/>
      </w:r>
      <w:r>
        <w:t>2</w:t>
      </w:r>
      <w:r>
        <w:fldChar w:fldCharType="end"/>
      </w:r>
    </w:p>
    <w:p>
      <w:pPr>
        <w:pStyle w:val="11"/>
        <w:tabs>
          <w:tab w:val="right" w:leader="dot" w:pos="8306"/>
        </w:tabs>
      </w:pPr>
      <w:r>
        <w:rPr>
          <w:rFonts w:hint="eastAsia" w:ascii="仿宋_GB2312" w:hAnsi="仿宋_GB2312" w:eastAsia="仿宋_GB2312" w:cs="仿宋_GB2312"/>
          <w:lang w:val="en-US" w:eastAsia="zh-CN"/>
        </w:rPr>
        <w:t>（一）桌面终端与外设维护服务</w:t>
      </w:r>
      <w:r>
        <w:tab/>
      </w:r>
      <w:r>
        <w:fldChar w:fldCharType="begin"/>
      </w:r>
      <w:r>
        <w:instrText xml:space="preserve"> PAGEREF _Toc15439 </w:instrText>
      </w:r>
      <w:r>
        <w:fldChar w:fldCharType="separate"/>
      </w:r>
      <w:r>
        <w:t>2</w:t>
      </w:r>
      <w:r>
        <w:fldChar w:fldCharType="end"/>
      </w:r>
    </w:p>
    <w:p>
      <w:pPr>
        <w:pStyle w:val="11"/>
        <w:tabs>
          <w:tab w:val="right" w:leader="dot" w:pos="8306"/>
        </w:tabs>
      </w:pPr>
      <w:r>
        <w:rPr>
          <w:rFonts w:hint="eastAsia" w:ascii="仿宋_GB2312" w:hAnsi="仿宋_GB2312" w:eastAsia="仿宋_GB2312" w:cs="仿宋_GB2312"/>
          <w:lang w:val="en-US" w:eastAsia="zh-CN"/>
        </w:rPr>
        <w:t>（二）网络和机房设备维护</w:t>
      </w:r>
      <w:r>
        <w:tab/>
      </w:r>
      <w:r>
        <w:fldChar w:fldCharType="begin"/>
      </w:r>
      <w:r>
        <w:instrText xml:space="preserve"> PAGEREF _Toc1978 </w:instrText>
      </w:r>
      <w:r>
        <w:fldChar w:fldCharType="separate"/>
      </w:r>
      <w:r>
        <w:t>4</w:t>
      </w:r>
      <w:r>
        <w:fldChar w:fldCharType="end"/>
      </w:r>
    </w:p>
    <w:p>
      <w:pPr>
        <w:pStyle w:val="11"/>
        <w:tabs>
          <w:tab w:val="right" w:leader="dot" w:pos="8306"/>
        </w:tabs>
      </w:pPr>
      <w:r>
        <w:rPr>
          <w:rFonts w:hint="eastAsia" w:ascii="仿宋_GB2312" w:hAnsi="仿宋_GB2312" w:eastAsia="仿宋_GB2312" w:cs="仿宋_GB2312"/>
          <w:lang w:val="en-US" w:eastAsia="zh-CN"/>
        </w:rPr>
        <w:t>（三）日常IT配件采购</w:t>
      </w:r>
      <w:r>
        <w:tab/>
      </w:r>
      <w:r>
        <w:fldChar w:fldCharType="begin"/>
      </w:r>
      <w:r>
        <w:instrText xml:space="preserve"> PAGEREF _Toc24343 </w:instrText>
      </w:r>
      <w:r>
        <w:fldChar w:fldCharType="separate"/>
      </w:r>
      <w:r>
        <w:t>5</w:t>
      </w:r>
      <w:r>
        <w:fldChar w:fldCharType="end"/>
      </w:r>
    </w:p>
    <w:p>
      <w:pPr>
        <w:pStyle w:val="11"/>
        <w:tabs>
          <w:tab w:val="right" w:leader="dot" w:pos="8306"/>
        </w:tabs>
      </w:pPr>
      <w:r>
        <w:rPr>
          <w:rFonts w:hint="eastAsia" w:ascii="仿宋_GB2312" w:hAnsi="仿宋_GB2312" w:eastAsia="仿宋_GB2312" w:cs="仿宋_GB2312"/>
          <w:lang w:val="en-US" w:eastAsia="zh-CN"/>
        </w:rPr>
        <w:t>（四）安全专项服务</w:t>
      </w:r>
      <w:r>
        <w:tab/>
      </w:r>
      <w:r>
        <w:fldChar w:fldCharType="begin"/>
      </w:r>
      <w:r>
        <w:instrText xml:space="preserve"> PAGEREF _Toc8596 </w:instrText>
      </w:r>
      <w:r>
        <w:fldChar w:fldCharType="separate"/>
      </w:r>
      <w:r>
        <w:t>5</w:t>
      </w:r>
      <w:r>
        <w:fldChar w:fldCharType="end"/>
      </w:r>
    </w:p>
    <w:p>
      <w:pPr>
        <w:pStyle w:val="11"/>
        <w:tabs>
          <w:tab w:val="right" w:leader="dot" w:pos="8306"/>
        </w:tabs>
      </w:pPr>
      <w:r>
        <w:rPr>
          <w:rFonts w:hint="eastAsia" w:ascii="仿宋_GB2312" w:hAnsi="仿宋_GB2312" w:eastAsia="仿宋_GB2312" w:cs="仿宋_GB2312"/>
          <w:lang w:val="en-US" w:eastAsia="zh-CN"/>
        </w:rPr>
        <w:t>（五）信息安全检查相关服务</w:t>
      </w:r>
      <w:r>
        <w:tab/>
      </w:r>
      <w:r>
        <w:fldChar w:fldCharType="begin"/>
      </w:r>
      <w:r>
        <w:instrText xml:space="preserve"> PAGEREF _Toc24591 </w:instrText>
      </w:r>
      <w:r>
        <w:fldChar w:fldCharType="separate"/>
      </w:r>
      <w:r>
        <w:t>7</w:t>
      </w:r>
      <w:r>
        <w:fldChar w:fldCharType="end"/>
      </w:r>
    </w:p>
    <w:p>
      <w:pPr>
        <w:pStyle w:val="11"/>
        <w:tabs>
          <w:tab w:val="right" w:leader="dot" w:pos="8306"/>
        </w:tabs>
      </w:pPr>
      <w:r>
        <w:rPr>
          <w:rFonts w:hint="eastAsia" w:ascii="仿宋_GB2312" w:hAnsi="仿宋_GB2312" w:eastAsia="仿宋_GB2312" w:cs="仿宋_GB2312"/>
          <w:lang w:val="en-US" w:eastAsia="zh-CN"/>
        </w:rPr>
        <w:t>（六） 设备原厂维保服务</w:t>
      </w:r>
      <w:r>
        <w:tab/>
      </w:r>
      <w:r>
        <w:fldChar w:fldCharType="begin"/>
      </w:r>
      <w:r>
        <w:instrText xml:space="preserve"> PAGEREF _Toc13236 </w:instrText>
      </w:r>
      <w:r>
        <w:fldChar w:fldCharType="separate"/>
      </w:r>
      <w:r>
        <w:t>12</w:t>
      </w:r>
      <w:r>
        <w:fldChar w:fldCharType="end"/>
      </w:r>
    </w:p>
    <w:p>
      <w:pPr>
        <w:pStyle w:val="11"/>
        <w:tabs>
          <w:tab w:val="right" w:leader="dot" w:pos="8306"/>
        </w:tabs>
      </w:pPr>
      <w:r>
        <w:rPr>
          <w:rFonts w:hint="eastAsia" w:ascii="仿宋_GB2312" w:hAnsi="仿宋_GB2312" w:eastAsia="仿宋_GB2312" w:cs="仿宋_GB2312"/>
          <w:lang w:val="en-US" w:eastAsia="zh-CN"/>
        </w:rPr>
        <w:t>（七） 信息安全软件授权服务</w:t>
      </w:r>
      <w:r>
        <w:tab/>
      </w:r>
      <w:r>
        <w:fldChar w:fldCharType="begin"/>
      </w:r>
      <w:r>
        <w:instrText xml:space="preserve"> PAGEREF _Toc26804 </w:instrText>
      </w:r>
      <w:r>
        <w:fldChar w:fldCharType="separate"/>
      </w:r>
      <w:r>
        <w:t>12</w:t>
      </w:r>
      <w:r>
        <w:fldChar w:fldCharType="end"/>
      </w:r>
    </w:p>
    <w:p>
      <w:pPr>
        <w:pStyle w:val="10"/>
        <w:tabs>
          <w:tab w:val="right" w:leader="dot" w:pos="8306"/>
        </w:tabs>
      </w:pPr>
      <w:r>
        <w:rPr>
          <w:rFonts w:hint="eastAsia"/>
          <w:szCs w:val="20"/>
          <w:lang w:val="en-US" w:eastAsia="zh-CN"/>
        </w:rPr>
        <w:t>五、 技术要求</w:t>
      </w:r>
      <w:r>
        <w:tab/>
      </w:r>
      <w:r>
        <w:fldChar w:fldCharType="begin"/>
      </w:r>
      <w:r>
        <w:instrText xml:space="preserve"> PAGEREF _Toc25174 </w:instrText>
      </w:r>
      <w:r>
        <w:fldChar w:fldCharType="separate"/>
      </w:r>
      <w:r>
        <w:t>13</w:t>
      </w:r>
      <w:r>
        <w:fldChar w:fldCharType="end"/>
      </w:r>
    </w:p>
    <w:p>
      <w:pPr>
        <w:pStyle w:val="11"/>
        <w:tabs>
          <w:tab w:val="right" w:leader="dot" w:pos="8306"/>
        </w:tabs>
      </w:pPr>
      <w:r>
        <w:rPr>
          <w:rFonts w:hint="eastAsia" w:ascii="仿宋_GB2312" w:hAnsi="仿宋_GB2312" w:eastAsia="仿宋_GB2312" w:cs="仿宋_GB2312"/>
          <w:lang w:val="en-US" w:eastAsia="zh-CN"/>
        </w:rPr>
        <w:t>（一）人员要求</w:t>
      </w:r>
      <w:r>
        <w:tab/>
      </w:r>
      <w:r>
        <w:fldChar w:fldCharType="begin"/>
      </w:r>
      <w:r>
        <w:instrText xml:space="preserve"> PAGEREF _Toc29243 </w:instrText>
      </w:r>
      <w:r>
        <w:fldChar w:fldCharType="separate"/>
      </w:r>
      <w:r>
        <w:t>13</w:t>
      </w:r>
      <w:r>
        <w:fldChar w:fldCharType="end"/>
      </w:r>
    </w:p>
    <w:p>
      <w:pPr>
        <w:pStyle w:val="11"/>
        <w:tabs>
          <w:tab w:val="right" w:leader="dot" w:pos="8306"/>
        </w:tabs>
      </w:pPr>
      <w:r>
        <w:rPr>
          <w:rFonts w:hint="eastAsia" w:ascii="仿宋_GB2312" w:hAnsi="仿宋_GB2312" w:eastAsia="仿宋_GB2312" w:cs="仿宋_GB2312"/>
          <w:lang w:val="en-US" w:eastAsia="zh-CN"/>
        </w:rPr>
        <w:t>（二）服务实施能力要求</w:t>
      </w:r>
      <w:r>
        <w:tab/>
      </w:r>
      <w:r>
        <w:fldChar w:fldCharType="begin"/>
      </w:r>
      <w:r>
        <w:instrText xml:space="preserve"> PAGEREF _Toc14366 </w:instrText>
      </w:r>
      <w:r>
        <w:fldChar w:fldCharType="separate"/>
      </w:r>
      <w:r>
        <w:t>14</w:t>
      </w:r>
      <w:r>
        <w:fldChar w:fldCharType="end"/>
      </w:r>
    </w:p>
    <w:p>
      <w:pPr>
        <w:pStyle w:val="11"/>
        <w:tabs>
          <w:tab w:val="right" w:leader="dot" w:pos="8306"/>
        </w:tabs>
      </w:pPr>
      <w:r>
        <w:rPr>
          <w:rFonts w:hint="eastAsia" w:ascii="仿宋_GB2312" w:hAnsi="仿宋_GB2312" w:eastAsia="仿宋_GB2312" w:cs="仿宋_GB2312"/>
          <w:lang w:val="en-US" w:eastAsia="zh-CN"/>
        </w:rPr>
        <w:t>（三）服务方案技术要求</w:t>
      </w:r>
      <w:r>
        <w:tab/>
      </w:r>
      <w:r>
        <w:fldChar w:fldCharType="begin"/>
      </w:r>
      <w:r>
        <w:instrText xml:space="preserve"> PAGEREF _Toc497 </w:instrText>
      </w:r>
      <w:r>
        <w:fldChar w:fldCharType="separate"/>
      </w:r>
      <w:r>
        <w:t>14</w:t>
      </w:r>
      <w:r>
        <w:fldChar w:fldCharType="end"/>
      </w:r>
    </w:p>
    <w:p>
      <w:pPr>
        <w:pStyle w:val="10"/>
        <w:tabs>
          <w:tab w:val="right" w:leader="dot" w:pos="8306"/>
        </w:tabs>
      </w:pPr>
      <w:r>
        <w:rPr>
          <w:rFonts w:hint="eastAsia"/>
          <w:szCs w:val="20"/>
          <w:lang w:val="en-US" w:eastAsia="zh-CN"/>
        </w:rPr>
        <w:t>六、 商务需求</w:t>
      </w:r>
      <w:r>
        <w:tab/>
      </w:r>
      <w:r>
        <w:fldChar w:fldCharType="begin"/>
      </w:r>
      <w:r>
        <w:instrText xml:space="preserve"> PAGEREF _Toc7540 </w:instrText>
      </w:r>
      <w:r>
        <w:fldChar w:fldCharType="separate"/>
      </w:r>
      <w:r>
        <w:t>15</w:t>
      </w:r>
      <w:r>
        <w:fldChar w:fldCharType="end"/>
      </w:r>
    </w:p>
    <w:p>
      <w:pPr>
        <w:pStyle w:val="11"/>
        <w:tabs>
          <w:tab w:val="right" w:leader="dot" w:pos="8306"/>
        </w:tabs>
      </w:pPr>
      <w:r>
        <w:rPr>
          <w:rFonts w:hint="eastAsia" w:ascii="仿宋_GB2312" w:hAnsi="仿宋_GB2312" w:eastAsia="仿宋_GB2312" w:cs="仿宋_GB2312"/>
          <w:lang w:val="en-US" w:eastAsia="zh-CN"/>
        </w:rPr>
        <w:t>（一） 服务期</w:t>
      </w:r>
      <w:r>
        <w:tab/>
      </w:r>
      <w:r>
        <w:fldChar w:fldCharType="begin"/>
      </w:r>
      <w:r>
        <w:instrText xml:space="preserve"> PAGEREF _Toc15783 </w:instrText>
      </w:r>
      <w:r>
        <w:fldChar w:fldCharType="separate"/>
      </w:r>
      <w:r>
        <w:t>15</w:t>
      </w:r>
      <w:r>
        <w:fldChar w:fldCharType="end"/>
      </w:r>
    </w:p>
    <w:p>
      <w:pPr>
        <w:pStyle w:val="11"/>
        <w:tabs>
          <w:tab w:val="right" w:leader="dot" w:pos="8306"/>
        </w:tabs>
      </w:pPr>
      <w:r>
        <w:rPr>
          <w:rFonts w:hint="eastAsia" w:ascii="仿宋_GB2312" w:hAnsi="仿宋_GB2312" w:eastAsia="仿宋_GB2312" w:cs="仿宋_GB2312"/>
          <w:lang w:val="en-US" w:eastAsia="zh-CN"/>
        </w:rPr>
        <w:t>（二） 报价要求</w:t>
      </w:r>
      <w:r>
        <w:tab/>
      </w:r>
      <w:r>
        <w:fldChar w:fldCharType="begin"/>
      </w:r>
      <w:r>
        <w:instrText xml:space="preserve"> PAGEREF _Toc11206 </w:instrText>
      </w:r>
      <w:r>
        <w:fldChar w:fldCharType="separate"/>
      </w:r>
      <w:r>
        <w:t>16</w:t>
      </w:r>
      <w:r>
        <w:fldChar w:fldCharType="end"/>
      </w:r>
    </w:p>
    <w:p>
      <w:pPr>
        <w:pStyle w:val="11"/>
        <w:tabs>
          <w:tab w:val="right" w:leader="dot" w:pos="8306"/>
        </w:tabs>
      </w:pPr>
      <w:r>
        <w:rPr>
          <w:rFonts w:hint="eastAsia" w:ascii="仿宋_GB2312" w:hAnsi="仿宋_GB2312" w:eastAsia="仿宋_GB2312" w:cs="仿宋_GB2312"/>
          <w:lang w:val="en-US" w:eastAsia="zh-CN"/>
        </w:rPr>
        <w:t>（三） 付款方式</w:t>
      </w:r>
      <w:r>
        <w:tab/>
      </w:r>
      <w:r>
        <w:fldChar w:fldCharType="begin"/>
      </w:r>
      <w:r>
        <w:instrText xml:space="preserve"> PAGEREF _Toc16495 </w:instrText>
      </w:r>
      <w:r>
        <w:fldChar w:fldCharType="separate"/>
      </w:r>
      <w:r>
        <w:t>16</w:t>
      </w:r>
      <w:r>
        <w:fldChar w:fldCharType="end"/>
      </w:r>
    </w:p>
    <w:p>
      <w:pPr>
        <w:pStyle w:val="11"/>
        <w:tabs>
          <w:tab w:val="right" w:leader="dot" w:pos="8306"/>
        </w:tabs>
      </w:pPr>
      <w:r>
        <w:rPr>
          <w:rFonts w:hint="eastAsia" w:ascii="仿宋_GB2312" w:hAnsi="仿宋_GB2312" w:eastAsia="仿宋_GB2312" w:cs="仿宋_GB2312"/>
          <w:lang w:val="en-US" w:eastAsia="zh-CN"/>
        </w:rPr>
        <w:t>（四） 实质性响应条款偏离表</w:t>
      </w:r>
      <w:r>
        <w:tab/>
      </w:r>
      <w:r>
        <w:fldChar w:fldCharType="begin"/>
      </w:r>
      <w:r>
        <w:instrText xml:space="preserve"> PAGEREF _Toc17367 </w:instrText>
      </w:r>
      <w:r>
        <w:fldChar w:fldCharType="separate"/>
      </w:r>
      <w:r>
        <w:t>17</w:t>
      </w:r>
      <w:r>
        <w:fldChar w:fldCharType="end"/>
      </w:r>
    </w:p>
    <w:p>
      <w:pPr>
        <w:pStyle w:val="11"/>
        <w:tabs>
          <w:tab w:val="right" w:leader="dot" w:pos="8306"/>
        </w:tabs>
      </w:pPr>
      <w:r>
        <w:rPr>
          <w:rFonts w:hint="eastAsia" w:ascii="仿宋_GB2312" w:hAnsi="仿宋_GB2312" w:eastAsia="仿宋_GB2312" w:cs="仿宋_GB2312"/>
          <w:lang w:val="en-US" w:eastAsia="zh-CN"/>
        </w:rPr>
        <w:t>（五） 风险责任</w:t>
      </w:r>
      <w:r>
        <w:tab/>
      </w:r>
      <w:r>
        <w:fldChar w:fldCharType="begin"/>
      </w:r>
      <w:r>
        <w:instrText xml:space="preserve"> PAGEREF _Toc6697 </w:instrText>
      </w:r>
      <w:r>
        <w:fldChar w:fldCharType="separate"/>
      </w:r>
      <w:r>
        <w:t>17</w:t>
      </w:r>
      <w:r>
        <w:fldChar w:fldCharType="end"/>
      </w:r>
    </w:p>
    <w:p>
      <w:pPr>
        <w:pStyle w:val="10"/>
        <w:tabs>
          <w:tab w:val="right" w:leader="dot" w:pos="8306"/>
        </w:tabs>
      </w:pPr>
      <w:r>
        <w:rPr>
          <w:rFonts w:hint="eastAsia"/>
          <w:szCs w:val="20"/>
          <w:lang w:val="en-US" w:eastAsia="zh-CN"/>
        </w:rPr>
        <w:t>七、 开标、评标和定标</w:t>
      </w:r>
      <w:r>
        <w:tab/>
      </w:r>
      <w:r>
        <w:fldChar w:fldCharType="begin"/>
      </w:r>
      <w:r>
        <w:instrText xml:space="preserve"> PAGEREF _Toc18306 </w:instrText>
      </w:r>
      <w:r>
        <w:fldChar w:fldCharType="separate"/>
      </w:r>
      <w:r>
        <w:t>18</w:t>
      </w:r>
      <w:r>
        <w:fldChar w:fldCharType="end"/>
      </w:r>
    </w:p>
    <w:p>
      <w:pPr>
        <w:pStyle w:val="11"/>
        <w:tabs>
          <w:tab w:val="right" w:leader="dot" w:pos="8306"/>
        </w:tabs>
      </w:pPr>
      <w:r>
        <w:rPr>
          <w:rFonts w:hint="eastAsia" w:ascii="仿宋_GB2312" w:hAnsi="仿宋_GB2312" w:eastAsia="仿宋_GB2312" w:cs="仿宋_GB2312"/>
          <w:szCs w:val="24"/>
          <w:lang w:val="en-US" w:eastAsia="zh-CN"/>
        </w:rPr>
        <w:t>（一）</w:t>
      </w:r>
      <w:r>
        <w:rPr>
          <w:rFonts w:hint="eastAsia" w:ascii="仿宋_GB2312" w:hAnsi="仿宋_GB2312" w:eastAsia="仿宋_GB2312" w:cs="仿宋_GB2312"/>
          <w:szCs w:val="24"/>
        </w:rPr>
        <w:t>开标</w:t>
      </w:r>
      <w:r>
        <w:tab/>
      </w:r>
      <w:r>
        <w:fldChar w:fldCharType="begin"/>
      </w:r>
      <w:r>
        <w:instrText xml:space="preserve"> PAGEREF _Toc30912 </w:instrText>
      </w:r>
      <w:r>
        <w:fldChar w:fldCharType="separate"/>
      </w:r>
      <w:r>
        <w:t>18</w:t>
      </w:r>
      <w:r>
        <w:fldChar w:fldCharType="end"/>
      </w:r>
    </w:p>
    <w:p>
      <w:pPr>
        <w:pStyle w:val="11"/>
        <w:tabs>
          <w:tab w:val="right" w:leader="dot" w:pos="8306"/>
        </w:tabs>
      </w:pPr>
      <w:r>
        <w:rPr>
          <w:rFonts w:hint="eastAsia" w:ascii="仿宋_GB2312" w:hAnsi="仿宋_GB2312" w:eastAsia="仿宋_GB2312" w:cs="仿宋_GB2312"/>
          <w:szCs w:val="24"/>
          <w:lang w:val="en-US" w:eastAsia="zh-CN"/>
        </w:rPr>
        <w:t>（二）评标</w:t>
      </w:r>
      <w:r>
        <w:tab/>
      </w:r>
      <w:r>
        <w:fldChar w:fldCharType="begin"/>
      </w:r>
      <w:r>
        <w:instrText xml:space="preserve"> PAGEREF _Toc6809 </w:instrText>
      </w:r>
      <w:r>
        <w:fldChar w:fldCharType="separate"/>
      </w:r>
      <w:r>
        <w:t>18</w:t>
      </w:r>
      <w:r>
        <w:fldChar w:fldCharType="end"/>
      </w:r>
    </w:p>
    <w:p>
      <w:pPr>
        <w:pStyle w:val="11"/>
        <w:tabs>
          <w:tab w:val="right" w:leader="dot" w:pos="8306"/>
        </w:tabs>
      </w:pPr>
      <w:r>
        <w:rPr>
          <w:rFonts w:hint="eastAsia" w:ascii="仿宋_GB2312" w:hAnsi="仿宋_GB2312" w:eastAsia="仿宋_GB2312" w:cs="仿宋_GB2312"/>
          <w:szCs w:val="24"/>
          <w:lang w:val="en-US" w:eastAsia="zh-CN"/>
        </w:rPr>
        <w:t>（三）定标</w:t>
      </w:r>
      <w:r>
        <w:tab/>
      </w:r>
      <w:r>
        <w:fldChar w:fldCharType="begin"/>
      </w:r>
      <w:r>
        <w:instrText xml:space="preserve"> PAGEREF _Toc12292 </w:instrText>
      </w:r>
      <w:r>
        <w:fldChar w:fldCharType="separate"/>
      </w:r>
      <w:r>
        <w:t>19</w:t>
      </w:r>
      <w:r>
        <w:fldChar w:fldCharType="end"/>
      </w:r>
    </w:p>
    <w:p>
      <w:pPr>
        <w:pStyle w:val="10"/>
        <w:tabs>
          <w:tab w:val="right" w:leader="dot" w:pos="8306"/>
        </w:tabs>
      </w:pPr>
      <w:r>
        <w:rPr>
          <w:rFonts w:hint="eastAsia"/>
          <w:szCs w:val="20"/>
          <w:lang w:val="en-US" w:eastAsia="zh-CN"/>
        </w:rPr>
        <w:t>八、 投标文件</w:t>
      </w:r>
      <w:r>
        <w:tab/>
      </w:r>
      <w:r>
        <w:fldChar w:fldCharType="begin"/>
      </w:r>
      <w:r>
        <w:instrText xml:space="preserve"> PAGEREF _Toc27598 </w:instrText>
      </w:r>
      <w:r>
        <w:fldChar w:fldCharType="separate"/>
      </w:r>
      <w:r>
        <w:t>22</w:t>
      </w:r>
      <w:r>
        <w:fldChar w:fldCharType="end"/>
      </w:r>
    </w:p>
    <w:p>
      <w:pPr>
        <w:pStyle w:val="10"/>
        <w:tabs>
          <w:tab w:val="right" w:leader="dot" w:pos="8306"/>
        </w:tabs>
      </w:pPr>
      <w:r>
        <w:rPr>
          <w:rFonts w:hint="eastAsia"/>
          <w:szCs w:val="20"/>
          <w:lang w:val="en-US" w:eastAsia="zh-CN"/>
        </w:rPr>
        <w:t>九、 其他要求</w:t>
      </w:r>
      <w:r>
        <w:tab/>
      </w:r>
      <w:r>
        <w:fldChar w:fldCharType="begin"/>
      </w:r>
      <w:r>
        <w:instrText xml:space="preserve"> PAGEREF _Toc15739 </w:instrText>
      </w:r>
      <w:r>
        <w:fldChar w:fldCharType="separate"/>
      </w:r>
      <w:r>
        <w:t>24</w:t>
      </w:r>
      <w:r>
        <w:fldChar w:fldCharType="end"/>
      </w:r>
    </w:p>
    <w:p>
      <w:pPr>
        <w:rPr>
          <w:rFonts w:hint="eastAsia"/>
          <w:sz w:val="24"/>
          <w:szCs w:val="24"/>
          <w:lang w:val="en-US" w:eastAsia="zh-CN"/>
        </w:rPr>
        <w:sectPr>
          <w:pgSz w:w="11906" w:h="16838"/>
          <w:pgMar w:top="1440" w:right="1800" w:bottom="1440" w:left="1800" w:header="851" w:footer="992" w:gutter="0"/>
          <w:cols w:space="425" w:num="1"/>
          <w:docGrid w:type="lines" w:linePitch="312" w:charSpace="0"/>
        </w:sectPr>
      </w:pPr>
      <w:r>
        <w:rPr>
          <w:rFonts w:hint="eastAsia"/>
          <w:szCs w:val="24"/>
          <w:lang w:val="en-US" w:eastAsia="zh-CN"/>
        </w:rPr>
        <w:fldChar w:fldCharType="end"/>
      </w:r>
    </w:p>
    <w:p>
      <w:pPr>
        <w:pStyle w:val="3"/>
        <w:numPr>
          <w:ilvl w:val="0"/>
          <w:numId w:val="1"/>
        </w:numPr>
        <w:bidi w:val="0"/>
        <w:rPr>
          <w:rFonts w:hint="eastAsia"/>
          <w:sz w:val="32"/>
          <w:szCs w:val="20"/>
          <w:lang w:val="en-US" w:eastAsia="zh-CN"/>
        </w:rPr>
      </w:pPr>
      <w:bookmarkStart w:id="0" w:name="_Toc17902"/>
      <w:bookmarkStart w:id="1" w:name="_Toc1176"/>
      <w:r>
        <w:rPr>
          <w:rFonts w:hint="eastAsia"/>
          <w:sz w:val="32"/>
          <w:szCs w:val="20"/>
          <w:lang w:val="en-US" w:eastAsia="zh-CN"/>
        </w:rPr>
        <w:t>项目概况</w:t>
      </w:r>
      <w:bookmarkEnd w:id="0"/>
      <w:bookmarkEnd w:id="1"/>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bookmarkStart w:id="2" w:name="OLE_LINK3"/>
      <w:r>
        <w:rPr>
          <w:rFonts w:hint="eastAsia" w:ascii="仿宋_GB2312" w:hAnsi="仿宋_GB2312" w:eastAsia="仿宋_GB2312" w:cs="仿宋_GB2312"/>
          <w:sz w:val="32"/>
          <w:szCs w:val="32"/>
          <w:lang w:val="en-US" w:eastAsia="zh-CN"/>
        </w:rPr>
        <w:t>深圳市档案馆包括计算机、网络、服务器、存储设备、安全设备及软件系统的等全套IT环境及其信息安全的维护。</w:t>
      </w:r>
    </w:p>
    <w:bookmarkEnd w:id="2"/>
    <w:p>
      <w:pPr>
        <w:pStyle w:val="3"/>
        <w:numPr>
          <w:ilvl w:val="0"/>
          <w:numId w:val="1"/>
        </w:numPr>
        <w:bidi w:val="0"/>
        <w:rPr>
          <w:rFonts w:hint="default"/>
          <w:b/>
          <w:sz w:val="32"/>
          <w:szCs w:val="20"/>
          <w:lang w:val="en-US" w:eastAsia="zh-CN"/>
        </w:rPr>
      </w:pPr>
      <w:bookmarkStart w:id="3" w:name="_Toc30977"/>
      <w:bookmarkStart w:id="4" w:name="_Toc5807"/>
      <w:r>
        <w:rPr>
          <w:rFonts w:hint="eastAsia"/>
          <w:b/>
          <w:sz w:val="32"/>
          <w:szCs w:val="20"/>
          <w:lang w:val="en-US" w:eastAsia="zh-CN"/>
        </w:rPr>
        <w:t>项目预算</w:t>
      </w:r>
      <w:bookmarkEnd w:id="3"/>
      <w:bookmarkEnd w:id="4"/>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lef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项目预算人民币玖拾万元整（￥900,000.00元整）。</w:t>
      </w:r>
    </w:p>
    <w:p>
      <w:pPr>
        <w:pStyle w:val="3"/>
        <w:numPr>
          <w:ilvl w:val="0"/>
          <w:numId w:val="1"/>
        </w:numPr>
        <w:bidi w:val="0"/>
        <w:rPr>
          <w:rFonts w:hint="eastAsia"/>
          <w:b/>
          <w:sz w:val="32"/>
          <w:szCs w:val="20"/>
          <w:lang w:val="en-US" w:eastAsia="zh-CN"/>
        </w:rPr>
      </w:pPr>
      <w:bookmarkStart w:id="5" w:name="_Toc20882"/>
      <w:bookmarkStart w:id="6" w:name="_Toc7029"/>
      <w:r>
        <w:rPr>
          <w:rFonts w:hint="eastAsia"/>
          <w:b/>
          <w:sz w:val="32"/>
          <w:szCs w:val="20"/>
          <w:lang w:val="en-US" w:eastAsia="zh-CN"/>
        </w:rPr>
        <w:t>投标人资质要求</w:t>
      </w:r>
      <w:bookmarkEnd w:id="5"/>
      <w:bookmarkEnd w:id="6"/>
    </w:p>
    <w:p>
      <w:pPr>
        <w:pStyle w:val="6"/>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（一）投标人必须为在中华人民共和国境内注册并合法运作的独立法人（须提供营业执照复印件或扫描件加盖投标人公章）；</w:t>
      </w:r>
    </w:p>
    <w:p>
      <w:pPr>
        <w:pStyle w:val="6"/>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（二）具有国家信息安全测评中心颁发的《信息安全服务资质安全工程类》或国家信息安全认证中心颁发的《信息安全服务资质认证》证书（提供证书复印件或扫描件加盖投标人公章）；</w:t>
      </w:r>
    </w:p>
    <w:p>
      <w:pPr>
        <w:pStyle w:val="6"/>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（三）参与政府采购项目投标的供应商近三年内无行贿犯罪记录（投标人提供书面声明）；</w:t>
      </w:r>
    </w:p>
    <w:p>
      <w:pPr>
        <w:pStyle w:val="6"/>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（四）本项目不接受联合体投标，不允许分包、转包。</w:t>
      </w:r>
    </w:p>
    <w:p>
      <w:pPr>
        <w:pStyle w:val="3"/>
        <w:numPr>
          <w:ilvl w:val="0"/>
          <w:numId w:val="1"/>
        </w:numPr>
        <w:bidi w:val="0"/>
        <w:rPr>
          <w:rFonts w:hint="default"/>
          <w:b/>
          <w:sz w:val="32"/>
          <w:szCs w:val="20"/>
          <w:lang w:val="en-US" w:eastAsia="zh-CN"/>
        </w:rPr>
      </w:pPr>
      <w:bookmarkStart w:id="7" w:name="_Toc9457"/>
      <w:bookmarkStart w:id="8" w:name="_Toc3757"/>
      <w:r>
        <w:rPr>
          <w:rFonts w:hint="eastAsia"/>
          <w:b/>
          <w:sz w:val="32"/>
          <w:szCs w:val="20"/>
          <w:lang w:val="en-US" w:eastAsia="zh-CN"/>
        </w:rPr>
        <w:t>服务内容</w:t>
      </w:r>
      <w:bookmarkEnd w:id="7"/>
      <w:bookmarkEnd w:id="8"/>
    </w:p>
    <w:p>
      <w:pPr>
        <w:pStyle w:val="4"/>
        <w:bidi w:val="0"/>
        <w:ind w:firstLine="643" w:firstLineChars="200"/>
        <w:rPr>
          <w:rFonts w:hint="eastAsia" w:ascii="仿宋_GB2312" w:hAnsi="仿宋_GB2312" w:eastAsia="仿宋_GB2312" w:cs="仿宋_GB2312"/>
          <w:lang w:val="en-US" w:eastAsia="zh-CN"/>
        </w:rPr>
      </w:pPr>
      <w:bookmarkStart w:id="9" w:name="_Toc15439"/>
      <w:r>
        <w:rPr>
          <w:rFonts w:hint="eastAsia" w:ascii="仿宋_GB2312" w:hAnsi="仿宋_GB2312" w:eastAsia="仿宋_GB2312" w:cs="仿宋_GB2312"/>
          <w:lang w:val="en-US" w:eastAsia="zh-CN"/>
        </w:rPr>
        <w:t>（一）桌面终端与外设维护服务</w:t>
      </w:r>
      <w:bookmarkEnd w:id="9"/>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市档案馆办公信息化设备，包括台式电脑、笔记本电脑、打印机、显示器等终端和外设的维护，驻点服务。包括设备的维修（不含配件），操作系统、杀毒软件、办公软件、业务软件的安装维护等。涉及的终端设备约250台，打印机约100台。工作内容包括但不限于以下内容：</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负责所有需维护的电脑及相关设备的硬件安装调试、检测、维护，对设备使用过程中出现或存在的故障进行及时诊断、维修；对在保修期内的硬件故障通知原厂家或第三方质保厂家维修，并对厂家维修情况进行跟踪、落实和汇总。具体硬件维护服务内容包括：</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（1）台式电脑：主板、CPU、硬盘、内存、显卡、声卡、网卡、隔离卡，光驱、软驱、MO驱动器、内置刻录光驱、MODEM卡、电源、所有外接端口；</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（2）笔记本电脑：显示液晶屏、主板、CPU、硬盘、内存、显卡、声卡、网卡、光驱、软驱、MO驱动器、MODEM卡、电源、所有外接端口；</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（3）服务器：主板、CPU、硬盘、阵列卡、内存、显卡、声卡、网卡、光驱、软驱、MO驱动器、内置刻录光驱、MODEM卡、电源、所有外接端口；</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（4）打印机：主板、外接端口、内存等非耗材零配件；</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（5）显示器；</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（6）设备内外清洁；</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（7）存储设备驱动器清洁，硬盘、磁带更换，配置；</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（8）其他外设设备。</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2.负责所维护的电脑及相关设备的软件安装、调试、升级工作，对设备在使用过程出现或存在的故障进行及时诊断及排除，在技术可行的条件下对用户误删除的数据进行恢复。具体软件维护内容包括：</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（1）办公、系统类软件维护：操作系统、办公软件、OA系统、业务相关软件等；</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（2）工具类软件维护：输入法、压缩软件、图像处理软件等实用性软件；</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（3）安全类软件：防病毒软件、准入控制软件等；</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（4）病毒检测及病毒的紧急处理；</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（5）主机性能诊断；</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（6）系统软件检测及重新安装；</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（7）其他应用软件的安装、设置；</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（8）外围设备连接、安装驱动及检查；</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（9）设备正常操作方法的简单培训。</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负责所维护的电脑及相关设备的网络连接安装、调试及检测工作，对设备在使用过程中出现或存在的网络故障进行及时的诊断及排除，包括对设备所连接的相关信息点的线路诊断及故障排除，以及楼层网络接入的维护。涉及网络主要为政务公共网、政务办公网、馆内局域网。</w:t>
      </w:r>
    </w:p>
    <w:p>
      <w:pPr>
        <w:pStyle w:val="4"/>
        <w:bidi w:val="0"/>
        <w:ind w:firstLine="643" w:firstLineChars="200"/>
        <w:rPr>
          <w:rFonts w:hint="eastAsia" w:ascii="仿宋_GB2312" w:hAnsi="仿宋_GB2312" w:eastAsia="仿宋_GB2312" w:cs="仿宋_GB2312"/>
          <w:b/>
          <w:lang w:val="en-US" w:eastAsia="zh-CN"/>
        </w:rPr>
      </w:pPr>
      <w:bookmarkStart w:id="10" w:name="_Toc1978"/>
      <w:r>
        <w:rPr>
          <w:rFonts w:hint="eastAsia" w:ascii="仿宋_GB2312" w:hAnsi="仿宋_GB2312" w:eastAsia="仿宋_GB2312" w:cs="仿宋_GB2312"/>
          <w:b/>
          <w:lang w:val="en-US" w:eastAsia="zh-CN"/>
        </w:rPr>
        <w:t>（二）网络和机房设备维护</w:t>
      </w:r>
      <w:bookmarkEnd w:id="10"/>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市档案馆网络、网络设备、安全设备、服务器、存储设备等的日常维护。涉及网络主要为政务公共网、政务办公网、馆内局域网；涉及服务器和存储设备约45台，及网络设备、安全设备、备份设备若干；设备品牌有华为、联想、浪潮、绿盟、天融信、锐捷等。服务包括设备检查、维护、维修，操作系统、数据库软件、安全软件、会议系统等的安装、更新、维护等，及机房（含托管机房）和相关设备间的日常巡检和管理，驻点服务。确保市档案馆的网络通畅，设备正常运行。主要内容包括网络维护、设备基础维护、软件基础维护、巡检和应急响应，具体如下：</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确保深圳市档案馆内各网络安全畅通，确保网络、安全设备、服务器、存储设备及虚拟化系统、网络管理软件系统和其他软件系统等正常运行，提供7天24小时响应服务；网络系统主要涉及深圳市档案中心ABCD四座楼宇及其与市大数据资源管理中心的连接。</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2.对设备实行定期的预防性维护(每月一次)，每季度进行一次设备、网络巡检，向采购方提供巡检报告和改进建议，并按采购方要求实施改进工作。</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3.每季度进行数据库的巡检维护，数据恢复和性能调优工作。提交《季度服务器及数据库巡检及优化报告》。根据数据库和应用系统情况、存储容量变化、应用的变化情况对数据库提出调整建议及做出调整。</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textAlignment w:val="auto"/>
        <w:rPr>
          <w:rFonts w:hint="default" w:ascii="仿宋_GB2312" w:hAnsi="仿宋_GB2312" w:eastAsia="仿宋_GB2312" w:cs="仿宋_GB2312"/>
          <w:sz w:val="32"/>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eastAsia" w:ascii="仿宋_GB2312" w:hAnsi="仿宋_GB2312" w:eastAsia="仿宋_GB2312" w:cs="仿宋_GB2312"/>
          <w:sz w:val="32"/>
          <w:szCs w:val="32"/>
          <w:lang w:val="en-US" w:eastAsia="zh-CN"/>
        </w:rPr>
        <w:t>4.日常巡检。每工作日安排对机房和设备间进行2次巡检，查看设备和机房环境状况是否正常，发现异常情况时马</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上记录，并及时报告处理，建立巡检台帐备查。长假期间须按采购方要求进行巡检。</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应急响应。发生断电、漏水、温度超标及其他紧急状况时（包括非工作日、夜间），必须派人立即至现场查看情况、向采购方汇报并按要求进行处理；及时维修、处理故障设备；出现灾难性故障时现场协助系统和数据的恢复工作，保障数据库系统的正常运行。</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6.配合采购方实施数据备份和数据清理。</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7.配合采购方进行数据库调优。</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8.免费提供必要的数据库补丁升级安装服务。</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9.技术支持：负责解答采购方提出的问题，无限次电话及邮件支持。</w:t>
      </w:r>
    </w:p>
    <w:p>
      <w:pPr>
        <w:pStyle w:val="4"/>
        <w:bidi w:val="0"/>
        <w:ind w:firstLine="643" w:firstLineChars="200"/>
        <w:rPr>
          <w:rFonts w:hint="eastAsia" w:ascii="仿宋_GB2312" w:hAnsi="仿宋_GB2312" w:eastAsia="仿宋_GB2312" w:cs="仿宋_GB2312"/>
          <w:b/>
          <w:lang w:val="en-US" w:eastAsia="zh-CN"/>
        </w:rPr>
      </w:pPr>
      <w:bookmarkStart w:id="11" w:name="_Toc24343"/>
      <w:r>
        <w:rPr>
          <w:rFonts w:hint="eastAsia" w:ascii="仿宋_GB2312" w:hAnsi="仿宋_GB2312" w:eastAsia="仿宋_GB2312" w:cs="仿宋_GB2312"/>
          <w:b/>
          <w:lang w:val="en-US" w:eastAsia="zh-CN"/>
        </w:rPr>
        <w:t>（三）日常IT配件采购</w:t>
      </w:r>
      <w:bookmarkEnd w:id="11"/>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确保设备故障时能够及时更换配件，该项目中安排9万元用于日常设备维护维修的相关配件的采购，中标方从正规途径采购原装正品配件并以成本价提供，到用户现场调试安装；中标人必须保证配件与设备匹配及安全可靠。投标人报价时，需注意，本项目服务配件采购费用的报价需保证在人民币9万元或以上，按实际发生金额结算。</w:t>
      </w:r>
    </w:p>
    <w:p>
      <w:pPr>
        <w:pStyle w:val="4"/>
        <w:bidi w:val="0"/>
        <w:ind w:firstLine="643" w:firstLineChars="200"/>
        <w:rPr>
          <w:rFonts w:hint="eastAsia" w:ascii="仿宋_GB2312" w:hAnsi="仿宋_GB2312" w:eastAsia="仿宋_GB2312" w:cs="仿宋_GB2312"/>
          <w:b/>
          <w:lang w:val="en-US" w:eastAsia="zh-CN"/>
        </w:rPr>
      </w:pPr>
      <w:bookmarkStart w:id="12" w:name="_Toc8596"/>
      <w:r>
        <w:rPr>
          <w:rFonts w:hint="eastAsia" w:ascii="仿宋_GB2312" w:hAnsi="仿宋_GB2312" w:eastAsia="仿宋_GB2312" w:cs="仿宋_GB2312"/>
          <w:b/>
          <w:lang w:val="en-US" w:eastAsia="zh-CN"/>
        </w:rPr>
        <w:t>（四）安全专项服务</w:t>
      </w:r>
      <w:bookmarkEnd w:id="12"/>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通过安全专项服务，实现整体安全管理制度建设、安全体系建设、安全体系咨询等服务。</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安全顾问服务：主动对网络安全改善提出合理性的建议，制订基于网络环境、应用需求、业务流程、组织结构和战略目标的安全策略与实施计划，并详细说明实现安全策略的方式方法。提供包括安全管理体系设计、安全技术选择和推荐、安全管理制度的制定、灾难恢复计划咨询等服务。</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2.信息安全资料服务：按采购方要求提供信息安全的国家政策、法规、标准的文本和解读，定期提供最新的安全动态、技术资料等。</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3.终端安全保密检查服务：每季度对采购方的所有计算机等终端设备进行安全保密检查，并根据检查情况进行修复整改，并建立安全检查、整改台帐和采集记录终端设备信息。</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安全培训服务：邀请政府安全机构、部门专家，通过理论讲授、问题讨论等方方式，对采购方开展全员培训，建立培训台帐，普及安全教育，提高安全意识，提高安全防范能力；以实际业务运作为立足点，注重理论和实操结合，组织信息化工作人员进行专业的信息安全培训，颁发培训证书。</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5.安全管理策略服务：建立安全管理策略，主要针对人员管理，机房管理，终端机管理。根据用户需求,协商制定,修改完善。</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6.安全制度修订咨询服务：按照信息安全等级保护的要求，结合采购方的实际情况，提供修订相关的信息安全管理制度的咨询服务。</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7.信息安全应急处置服务：在采购方遭遇信息安全事件时，应快速反应，提供技术支持并派出安全工程师协助采购方处置。</w:t>
      </w:r>
    </w:p>
    <w:p>
      <w:pPr>
        <w:pStyle w:val="4"/>
        <w:bidi w:val="0"/>
        <w:ind w:firstLine="643" w:firstLineChars="200"/>
        <w:rPr>
          <w:rFonts w:hint="eastAsia" w:ascii="仿宋_GB2312" w:hAnsi="仿宋_GB2312" w:eastAsia="仿宋_GB2312" w:cs="仿宋_GB2312"/>
          <w:b/>
          <w:lang w:val="en-US" w:eastAsia="zh-CN"/>
        </w:rPr>
      </w:pPr>
      <w:bookmarkStart w:id="13" w:name="_Toc24591"/>
      <w:r>
        <w:rPr>
          <w:rFonts w:hint="eastAsia" w:ascii="仿宋_GB2312" w:hAnsi="仿宋_GB2312" w:eastAsia="仿宋_GB2312" w:cs="仿宋_GB2312"/>
          <w:b/>
          <w:lang w:val="en-US" w:eastAsia="zh-CN"/>
        </w:rPr>
        <w:t>（五）信息安全检查相关服务</w:t>
      </w:r>
      <w:bookmarkEnd w:id="13"/>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为确保采购方信息系统的稳定、安全运行，结合深圳市委、市政府和市信息安全主管部门要求，依据国家、深圳市信息安全相关政策法规和指引文件，针对采购方信息系统进行信息安全风险评估、信息安全制度落实情况、安全防范措施落实情况、应急响应机制建设情况、信息技术产品和服务国产化情况、安全教育培训情况、责任追究情况、安全隐患排查及整改情况等与信息安全检查相关的安全服务和绩效评估信息安全顾问服务，对安全服务过程中发现的脆弱点和问题提出科学、可行的修复加固计划和建议，建立符合国家标准和深圳市电子政务要求的信息安全管理体系，并在一年的服务期内，使系统的安全状况得以长期保持。服务范围和项目实施要求参照2021年深圳市委、市政府和市信息安全主管部门印发的信息安全检查相关文件为准。</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textAlignment w:val="auto"/>
        <w:rPr>
          <w:rFonts w:hint="eastAsia"/>
          <w:lang w:val="en-US" w:eastAsia="zh-CN"/>
        </w:rPr>
      </w:pPr>
      <w:r>
        <w:rPr>
          <w:rFonts w:hint="eastAsia" w:ascii="仿宋_GB2312" w:hAnsi="仿宋_GB2312" w:eastAsia="仿宋_GB2312" w:cs="仿宋_GB2312"/>
          <w:sz w:val="32"/>
          <w:szCs w:val="32"/>
          <w:lang w:val="en-US" w:eastAsia="zh-CN"/>
        </w:rPr>
        <w:t>2.安全服务内容</w:t>
      </w:r>
    </w:p>
    <w:tbl>
      <w:tblPr>
        <w:tblStyle w:val="12"/>
        <w:tblW w:w="8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896"/>
        <w:gridCol w:w="1559"/>
        <w:gridCol w:w="1134"/>
        <w:gridCol w:w="1850"/>
        <w:gridCol w:w="1410"/>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78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r>
              <w:rPr>
                <w:rFonts w:hint="eastAsia" w:ascii="宋体" w:hAnsi="宋体"/>
                <w:bCs/>
                <w:szCs w:val="21"/>
              </w:rPr>
              <w:t>序号</w:t>
            </w:r>
          </w:p>
        </w:tc>
        <w:tc>
          <w:tcPr>
            <w:tcW w:w="89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r>
              <w:rPr>
                <w:rFonts w:hint="eastAsia" w:ascii="宋体" w:hAnsi="宋体"/>
                <w:bCs/>
                <w:szCs w:val="21"/>
              </w:rPr>
              <w:t>大类</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r>
              <w:rPr>
                <w:rFonts w:hint="eastAsia" w:ascii="宋体" w:hAnsi="宋体"/>
                <w:bCs/>
                <w:szCs w:val="21"/>
              </w:rPr>
              <w:t>描述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r>
              <w:rPr>
                <w:rFonts w:hint="eastAsia" w:ascii="宋体" w:hAnsi="宋体"/>
                <w:bCs/>
                <w:szCs w:val="21"/>
              </w:rPr>
              <w:t>子类</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r>
              <w:rPr>
                <w:rFonts w:hint="eastAsia" w:ascii="宋体" w:hAnsi="宋体"/>
                <w:bCs/>
                <w:szCs w:val="21"/>
              </w:rPr>
              <w:t>工作内容</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r>
              <w:rPr>
                <w:rFonts w:hint="eastAsia" w:ascii="宋体" w:hAnsi="宋体"/>
                <w:bCs/>
                <w:szCs w:val="21"/>
              </w:rPr>
              <w:t>全年次数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bCs/>
                <w:szCs w:val="21"/>
              </w:rPr>
            </w:pPr>
            <w:r>
              <w:rPr>
                <w:rFonts w:hint="eastAsia" w:ascii="宋体" w:hAnsi="宋体"/>
                <w:bCs/>
                <w:szCs w:val="21"/>
              </w:rPr>
              <w:t>1</w:t>
            </w:r>
          </w:p>
        </w:tc>
        <w:tc>
          <w:tcPr>
            <w:tcW w:w="89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p>
            <w:pPr>
              <w:spacing w:line="240" w:lineRule="auto"/>
              <w:rPr>
                <w:rFonts w:ascii="宋体" w:hAnsi="宋体"/>
                <w:bCs/>
                <w:szCs w:val="21"/>
              </w:rPr>
            </w:pPr>
            <w:r>
              <w:rPr>
                <w:rFonts w:hint="eastAsia" w:ascii="宋体" w:hAnsi="宋体"/>
                <w:bCs/>
                <w:szCs w:val="21"/>
              </w:rPr>
              <w:t>信息安全风险评估</w:t>
            </w:r>
          </w:p>
        </w:tc>
        <w:tc>
          <w:tcPr>
            <w:tcW w:w="155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以信息资产为主线，分析信息系统可能面临的威胁，当前存在的弱点，以及弱点被威胁所利用的可能性及影响，以此为基础对当前信息系统的安全风险进行分析和定义。</w:t>
            </w:r>
            <w:r>
              <w:rPr>
                <w:rFonts w:hint="eastAsia" w:ascii="宋体" w:hAnsi="宋体"/>
                <w:bCs/>
                <w:szCs w:val="21"/>
                <w:lang w:val="en-US" w:eastAsia="zh-CN"/>
              </w:rPr>
              <w:t>服务要求参照我市信息安全联合检查相关文件</w:t>
            </w:r>
            <w:r>
              <w:rPr>
                <w:rFonts w:hint="eastAsia" w:ascii="宋体" w:hAnsi="宋体"/>
                <w:bCs/>
                <w:szCs w:val="21"/>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资产分析</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分析所有信息资产（包括硬件、软件、文档和数据、人力、业务应用、物理环境、组织管理等）的保密性、可用性、完整性安全属性，确认关键资产</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威胁分析</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对资产（包括硬件、业务应用、物理环境、组织管理等）面临哪些潜在威胁，导致威胁的问题所在，威胁发生的可能性有多大等问题进行分析</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弱点分析</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从管理、技术两方面，全面分析系统存在的各种脆弱性，分析弱点被利用的可能性</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现有措施分析</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分析已有的安全措施对安全风险的控制作用</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风险分析</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计算并得出当前系统仍存在的风险，并给出相应控制和管理风险的建议</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评估报告</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编写真实、全面、准确并符合深圳市信息安全风险评估指南要求的风险评估报告</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评估总结</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编写真实、全面、准确并符合深圳市信息安全风险评估指南要求的评估总结</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r>
              <w:rPr>
                <w:rFonts w:hint="eastAsia" w:ascii="宋体" w:hAnsi="宋体"/>
                <w:bCs/>
                <w:szCs w:val="21"/>
              </w:rPr>
              <w:t>2</w:t>
            </w:r>
          </w:p>
        </w:tc>
        <w:tc>
          <w:tcPr>
            <w:tcW w:w="89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信息系统加固修复</w:t>
            </w:r>
          </w:p>
        </w:tc>
        <w:tc>
          <w:tcPr>
            <w:tcW w:w="155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对在上年度</w:t>
            </w:r>
            <w:r>
              <w:rPr>
                <w:rFonts w:hint="eastAsia" w:ascii="宋体" w:hAnsi="宋体"/>
                <w:bCs/>
                <w:szCs w:val="21"/>
                <w:lang w:val="en-US" w:eastAsia="zh-CN"/>
              </w:rPr>
              <w:t>发现的信息安全</w:t>
            </w:r>
            <w:r>
              <w:rPr>
                <w:rFonts w:hint="eastAsia" w:ascii="宋体" w:hAnsi="宋体"/>
                <w:bCs/>
                <w:szCs w:val="21"/>
              </w:rPr>
              <w:t>问题进行加固修复，包含但不限于</w:t>
            </w:r>
            <w:r>
              <w:rPr>
                <w:rFonts w:hint="eastAsia" w:ascii="宋体" w:hAnsi="宋体"/>
                <w:bCs/>
                <w:szCs w:val="21"/>
                <w:lang w:val="en-US" w:eastAsia="zh-CN"/>
              </w:rPr>
              <w:t>各种信息安全检查、抽</w:t>
            </w:r>
            <w:r>
              <w:rPr>
                <w:rFonts w:hint="eastAsia" w:ascii="宋体" w:hAnsi="宋体"/>
                <w:bCs/>
                <w:szCs w:val="21"/>
              </w:rPr>
              <w:t>查整改、风评结论整改等。</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信息安全整改</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完善并落实上年度</w:t>
            </w:r>
            <w:r>
              <w:rPr>
                <w:rFonts w:hint="eastAsia" w:ascii="宋体" w:hAnsi="宋体"/>
                <w:bCs/>
                <w:szCs w:val="21"/>
                <w:lang w:val="en-US" w:eastAsia="zh-CN"/>
              </w:rPr>
              <w:t>工作、信息安全检查、抽查中发现信息安全问题</w:t>
            </w:r>
            <w:r>
              <w:rPr>
                <w:rFonts w:hint="eastAsia" w:ascii="宋体" w:hAnsi="宋体"/>
                <w:bCs/>
                <w:szCs w:val="21"/>
              </w:rPr>
              <w:t>的整改工作</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信息安全风险评估不可接受风险整改</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完善并落实上年度信息安全风险评估的不可接受风险整改工作</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管理加固</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对现有信息安全管理体系中存在的问题进行优化和完善，并协助</w:t>
            </w:r>
            <w:r>
              <w:rPr>
                <w:rFonts w:hint="eastAsia" w:ascii="宋体" w:hAnsi="宋体"/>
                <w:bCs/>
                <w:szCs w:val="21"/>
                <w:lang w:val="en-US" w:eastAsia="zh-CN"/>
              </w:rPr>
              <w:t>采购方</w:t>
            </w:r>
            <w:r>
              <w:rPr>
                <w:rFonts w:hint="eastAsia" w:ascii="宋体" w:hAnsi="宋体"/>
                <w:bCs/>
                <w:szCs w:val="21"/>
              </w:rPr>
              <w:t>完成相关文档的编写和宣传</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服务器加固</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对全网的服务器进行修复加固和漏洞扫描。Windows服务器直接修复加固，非Windows服务器协助</w:t>
            </w:r>
            <w:r>
              <w:rPr>
                <w:rFonts w:hint="eastAsia" w:ascii="宋体" w:hAnsi="宋体"/>
                <w:bCs/>
                <w:szCs w:val="21"/>
                <w:lang w:val="en-US" w:eastAsia="zh-CN"/>
              </w:rPr>
              <w:t>采购方</w:t>
            </w:r>
            <w:r>
              <w:rPr>
                <w:rFonts w:hint="eastAsia" w:ascii="宋体" w:hAnsi="宋体"/>
                <w:bCs/>
                <w:szCs w:val="21"/>
              </w:rPr>
              <w:t>或维护厂商完成修复加固</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网络加固</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对全网的网络设备和安全设备进行修复加固和漏洞扫描</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应用系统和数据库系统加固</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为所有B/S和C/S架构的应用系统提供修复加固技术支持和优化服务</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安全策略加固</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确认主机操作系统、应用系统的安全策略未被更改或还原</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安全设备加固</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对安全设备中的配置、策略进行加固修复</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r>
              <w:rPr>
                <w:rFonts w:hint="eastAsia" w:ascii="宋体" w:hAnsi="宋体"/>
                <w:bCs/>
                <w:szCs w:val="21"/>
              </w:rPr>
              <w:t>3</w:t>
            </w:r>
          </w:p>
        </w:tc>
        <w:tc>
          <w:tcPr>
            <w:tcW w:w="89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信息安全制度自查与优化</w:t>
            </w:r>
          </w:p>
        </w:tc>
        <w:tc>
          <w:tcPr>
            <w:tcW w:w="155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建立与完善信息安全管理体系</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信息安全制度自查</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default" w:ascii="宋体" w:hAnsi="宋体" w:eastAsiaTheme="minorEastAsia"/>
                <w:bCs/>
                <w:szCs w:val="21"/>
                <w:lang w:val="en-US" w:eastAsia="zh-CN"/>
              </w:rPr>
            </w:pPr>
            <w:r>
              <w:rPr>
                <w:rFonts w:hint="eastAsia" w:ascii="宋体" w:hAnsi="宋体"/>
                <w:bCs/>
                <w:szCs w:val="21"/>
                <w:lang w:val="en-US" w:eastAsia="zh-CN"/>
              </w:rPr>
              <w:t>找出现有安全制度不足及与国家、省、市要求的差距。</w:t>
            </w:r>
          </w:p>
        </w:tc>
        <w:tc>
          <w:tcPr>
            <w:tcW w:w="118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信息安全管理体系建设服务</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建立与完善</w:t>
            </w:r>
            <w:r>
              <w:rPr>
                <w:rFonts w:hint="eastAsia" w:ascii="宋体" w:hAnsi="宋体"/>
                <w:bCs/>
                <w:szCs w:val="21"/>
                <w:lang w:eastAsia="zh-CN"/>
              </w:rPr>
              <w:t>采购方</w:t>
            </w:r>
            <w:r>
              <w:rPr>
                <w:rFonts w:hint="eastAsia" w:ascii="宋体" w:hAnsi="宋体"/>
                <w:bCs/>
                <w:szCs w:val="21"/>
              </w:rPr>
              <w:t>的信息安全管理机构、信息安全管理制度，建立符合</w:t>
            </w:r>
            <w:r>
              <w:rPr>
                <w:rFonts w:hint="eastAsia" w:ascii="宋体" w:hAnsi="宋体"/>
                <w:bCs/>
                <w:szCs w:val="21"/>
                <w:lang w:eastAsia="zh-CN"/>
              </w:rPr>
              <w:t>采购方</w:t>
            </w:r>
            <w:r>
              <w:rPr>
                <w:rFonts w:hint="eastAsia" w:ascii="宋体" w:hAnsi="宋体"/>
                <w:bCs/>
                <w:szCs w:val="21"/>
              </w:rPr>
              <w:t>信息系统现状的信息安全管理体系</w:t>
            </w:r>
          </w:p>
        </w:tc>
        <w:tc>
          <w:tcPr>
            <w:tcW w:w="118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r>
              <w:rPr>
                <w:rFonts w:hint="eastAsia" w:ascii="宋体" w:hAnsi="宋体"/>
                <w:bCs/>
                <w:szCs w:val="21"/>
              </w:rPr>
              <w:t>4</w:t>
            </w:r>
          </w:p>
        </w:tc>
        <w:tc>
          <w:tcPr>
            <w:tcW w:w="89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安全防范措施自查与优化</w:t>
            </w:r>
          </w:p>
        </w:tc>
        <w:tc>
          <w:tcPr>
            <w:tcW w:w="155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检查现有信息系统中安全防范措施的落实情况，对不符合检查要求的现状和措施进行优化和整改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外包软件安全检测</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lang w:val="en-US" w:eastAsia="zh-CN"/>
              </w:rPr>
              <w:t>对</w:t>
            </w:r>
            <w:r>
              <w:rPr>
                <w:rFonts w:hint="eastAsia" w:ascii="宋体" w:hAnsi="宋体"/>
                <w:bCs/>
                <w:szCs w:val="21"/>
                <w:lang w:eastAsia="zh-CN"/>
              </w:rPr>
              <w:t>采购方</w:t>
            </w:r>
            <w:r>
              <w:rPr>
                <w:rFonts w:hint="eastAsia" w:ascii="宋体" w:hAnsi="宋体"/>
                <w:bCs/>
                <w:szCs w:val="21"/>
              </w:rPr>
              <w:t>投入使用前的外包开发软件进行安全检测</w:t>
            </w:r>
          </w:p>
        </w:tc>
        <w:tc>
          <w:tcPr>
            <w:tcW w:w="118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bCs/>
                <w:szCs w:val="21"/>
              </w:rPr>
            </w:pPr>
            <w:r>
              <w:rPr>
                <w:rFonts w:hint="eastAsia" w:ascii="宋体" w:hAnsi="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安全域划分与建设防护</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对</w:t>
            </w:r>
            <w:r>
              <w:rPr>
                <w:rFonts w:hint="eastAsia" w:ascii="宋体" w:hAnsi="宋体"/>
                <w:bCs/>
                <w:szCs w:val="21"/>
                <w:lang w:eastAsia="zh-CN"/>
              </w:rPr>
              <w:t>采购方</w:t>
            </w:r>
            <w:r>
              <w:rPr>
                <w:rFonts w:hint="eastAsia" w:ascii="宋体" w:hAnsi="宋体"/>
                <w:bCs/>
                <w:szCs w:val="21"/>
                <w:lang w:val="en-US" w:eastAsia="zh-CN"/>
              </w:rPr>
              <w:t>网络</w:t>
            </w:r>
            <w:r>
              <w:rPr>
                <w:rFonts w:hint="eastAsia" w:ascii="宋体" w:hAnsi="宋体"/>
                <w:bCs/>
                <w:szCs w:val="21"/>
              </w:rPr>
              <w:t>信息系统进行科学、合理地安全域设计和划分</w:t>
            </w:r>
          </w:p>
        </w:tc>
        <w:tc>
          <w:tcPr>
            <w:tcW w:w="118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对</w:t>
            </w:r>
            <w:r>
              <w:rPr>
                <w:rFonts w:hint="eastAsia" w:ascii="宋体" w:hAnsi="宋体"/>
                <w:bCs/>
                <w:szCs w:val="21"/>
                <w:lang w:eastAsia="zh-CN"/>
              </w:rPr>
              <w:t>采购方</w:t>
            </w:r>
            <w:r>
              <w:rPr>
                <w:rFonts w:hint="eastAsia" w:ascii="宋体" w:hAnsi="宋体"/>
                <w:bCs/>
                <w:szCs w:val="21"/>
                <w:lang w:val="en-US" w:eastAsia="zh-CN"/>
              </w:rPr>
              <w:t>网络</w:t>
            </w:r>
            <w:r>
              <w:rPr>
                <w:rFonts w:hint="eastAsia" w:ascii="宋体" w:hAnsi="宋体"/>
                <w:bCs/>
                <w:szCs w:val="21"/>
              </w:rPr>
              <w:t>各安全域进行科学、合理地定性定级</w:t>
            </w:r>
          </w:p>
        </w:tc>
        <w:tc>
          <w:tcPr>
            <w:tcW w:w="118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编制各安全域的安全防护设计方案，并协助</w:t>
            </w:r>
            <w:r>
              <w:rPr>
                <w:rFonts w:hint="eastAsia" w:ascii="宋体" w:hAnsi="宋体"/>
                <w:bCs/>
                <w:szCs w:val="21"/>
                <w:lang w:eastAsia="zh-CN"/>
              </w:rPr>
              <w:t>采购方</w:t>
            </w:r>
            <w:r>
              <w:rPr>
                <w:rFonts w:hint="eastAsia" w:ascii="宋体" w:hAnsi="宋体"/>
                <w:bCs/>
                <w:szCs w:val="21"/>
              </w:rPr>
              <w:t>实施</w:t>
            </w:r>
          </w:p>
        </w:tc>
        <w:tc>
          <w:tcPr>
            <w:tcW w:w="118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向互联网发布的网站的安全测评</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对</w:t>
            </w:r>
            <w:r>
              <w:rPr>
                <w:rFonts w:hint="eastAsia" w:ascii="宋体" w:hAnsi="宋体"/>
                <w:bCs/>
                <w:szCs w:val="21"/>
                <w:lang w:eastAsia="zh-CN"/>
              </w:rPr>
              <w:t>采购方</w:t>
            </w:r>
            <w:r>
              <w:rPr>
                <w:rFonts w:hint="eastAsia" w:ascii="宋体" w:hAnsi="宋体"/>
                <w:bCs/>
                <w:szCs w:val="21"/>
              </w:rPr>
              <w:t>向互联网发布的所有网站进行安全测评</w:t>
            </w:r>
          </w:p>
        </w:tc>
        <w:tc>
          <w:tcPr>
            <w:tcW w:w="118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保密检查</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协助</w:t>
            </w:r>
            <w:r>
              <w:rPr>
                <w:rFonts w:hint="eastAsia" w:ascii="宋体" w:hAnsi="宋体"/>
                <w:bCs/>
                <w:szCs w:val="21"/>
                <w:lang w:eastAsia="zh-CN"/>
              </w:rPr>
              <w:t>采购方</w:t>
            </w:r>
            <w:r>
              <w:rPr>
                <w:rFonts w:hint="eastAsia" w:ascii="宋体" w:hAnsi="宋体"/>
                <w:bCs/>
                <w:szCs w:val="21"/>
              </w:rPr>
              <w:t>保密部门，对涉密计算机和涉密存储介质进行检查。检查内容包括：非法外联、物理隔离、移动存储介质的混用、密件处理、监控软件状态等</w:t>
            </w:r>
          </w:p>
        </w:tc>
        <w:tc>
          <w:tcPr>
            <w:tcW w:w="118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计算机资产统计</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收集统计</w:t>
            </w:r>
            <w:r>
              <w:rPr>
                <w:rFonts w:hint="eastAsia" w:ascii="宋体" w:hAnsi="宋体"/>
                <w:bCs/>
                <w:szCs w:val="21"/>
                <w:lang w:eastAsia="zh-CN"/>
              </w:rPr>
              <w:t>采购方</w:t>
            </w:r>
            <w:r>
              <w:rPr>
                <w:rFonts w:hint="eastAsia" w:ascii="宋体" w:hAnsi="宋体"/>
                <w:bCs/>
                <w:szCs w:val="21"/>
              </w:rPr>
              <w:t>在使用的计算机资下列信息，包含：</w:t>
            </w:r>
            <w:r>
              <w:rPr>
                <w:rFonts w:hint="eastAsia" w:ascii="宋体" w:hAnsi="宋体"/>
                <w:bCs/>
                <w:szCs w:val="21"/>
              </w:rPr>
              <w:br w:type="textWrapping"/>
            </w:r>
            <w:r>
              <w:rPr>
                <w:rFonts w:hint="eastAsia" w:ascii="宋体" w:hAnsi="宋体"/>
                <w:bCs/>
                <w:szCs w:val="21"/>
              </w:rPr>
              <w:t>计算机主机名、计算机IP地址、计算机MAC地址、计算机使用人或责任人、计算机所属部门、计算机的物理位置；服务器的IP地址、MAC地址、安装应用、物理位置等。</w:t>
            </w:r>
          </w:p>
        </w:tc>
        <w:tc>
          <w:tcPr>
            <w:tcW w:w="118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网站备案</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完成</w:t>
            </w:r>
            <w:r>
              <w:rPr>
                <w:rFonts w:hint="eastAsia" w:ascii="宋体" w:hAnsi="宋体"/>
                <w:bCs/>
                <w:szCs w:val="21"/>
                <w:lang w:eastAsia="zh-CN"/>
              </w:rPr>
              <w:t>采购方</w:t>
            </w:r>
            <w:r>
              <w:rPr>
                <w:rFonts w:hint="eastAsia" w:ascii="宋体" w:hAnsi="宋体"/>
                <w:bCs/>
                <w:szCs w:val="21"/>
              </w:rPr>
              <w:t>所有网站在公安网监部门的备案，并取得国际联网备案登记证书和备案编号等证明文件</w:t>
            </w:r>
          </w:p>
        </w:tc>
        <w:tc>
          <w:tcPr>
            <w:tcW w:w="118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安全防范技术措施有效性检查</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检查</w:t>
            </w:r>
            <w:r>
              <w:rPr>
                <w:rFonts w:hint="eastAsia" w:ascii="宋体" w:hAnsi="宋体"/>
                <w:bCs/>
                <w:szCs w:val="21"/>
                <w:lang w:eastAsia="zh-CN"/>
              </w:rPr>
              <w:t>采购方</w:t>
            </w:r>
            <w:r>
              <w:rPr>
                <w:rFonts w:hint="eastAsia" w:ascii="宋体" w:hAnsi="宋体"/>
                <w:bCs/>
                <w:szCs w:val="21"/>
              </w:rPr>
              <w:t>信息系统现有安全防范技术措施的有效性</w:t>
            </w:r>
          </w:p>
        </w:tc>
        <w:tc>
          <w:tcPr>
            <w:tcW w:w="118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r>
              <w:rPr>
                <w:rFonts w:hint="eastAsia" w:ascii="宋体" w:hAnsi="宋体"/>
                <w:bCs/>
                <w:szCs w:val="21"/>
              </w:rPr>
              <w:t>5</w:t>
            </w:r>
          </w:p>
        </w:tc>
        <w:tc>
          <w:tcPr>
            <w:tcW w:w="89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p>
            <w:pPr>
              <w:spacing w:line="240" w:lineRule="auto"/>
              <w:rPr>
                <w:rFonts w:ascii="宋体" w:hAnsi="宋体"/>
                <w:bCs/>
                <w:szCs w:val="21"/>
              </w:rPr>
            </w:pPr>
            <w:r>
              <w:rPr>
                <w:rFonts w:hint="eastAsia" w:ascii="宋体" w:hAnsi="宋体"/>
                <w:bCs/>
                <w:szCs w:val="21"/>
              </w:rPr>
              <w:t>应急预案建设与演练</w:t>
            </w:r>
          </w:p>
        </w:tc>
        <w:tc>
          <w:tcPr>
            <w:tcW w:w="155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建立符合信息系统现状的科学的应急预案，并制定演练计划进行预案演练和验证</w:t>
            </w: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应急预案制定</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应急预案建设</w:t>
            </w:r>
          </w:p>
          <w:p>
            <w:pPr>
              <w:spacing w:line="240" w:lineRule="auto"/>
              <w:rPr>
                <w:rFonts w:ascii="宋体" w:hAnsi="宋体"/>
                <w:bCs/>
                <w:szCs w:val="21"/>
              </w:rPr>
            </w:pPr>
            <w:r>
              <w:rPr>
                <w:rFonts w:hint="eastAsia" w:ascii="宋体" w:hAnsi="宋体"/>
                <w:bCs/>
                <w:szCs w:val="21"/>
              </w:rPr>
              <w:t>对</w:t>
            </w:r>
            <w:r>
              <w:rPr>
                <w:rFonts w:hint="eastAsia" w:ascii="宋体" w:hAnsi="宋体"/>
                <w:bCs/>
                <w:szCs w:val="21"/>
                <w:lang w:eastAsia="zh-CN"/>
              </w:rPr>
              <w:t>采购方</w:t>
            </w:r>
            <w:r>
              <w:rPr>
                <w:rFonts w:hint="eastAsia" w:ascii="宋体" w:hAnsi="宋体"/>
                <w:bCs/>
                <w:szCs w:val="21"/>
              </w:rPr>
              <w:t>所有重要信息系统和对公众服务的信息系统制定科学、有效的应急预案</w:t>
            </w:r>
          </w:p>
        </w:tc>
        <w:tc>
          <w:tcPr>
            <w:tcW w:w="118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应急技术支援队伍的建设</w:t>
            </w:r>
          </w:p>
          <w:p>
            <w:pPr>
              <w:spacing w:line="240" w:lineRule="auto"/>
              <w:rPr>
                <w:rFonts w:ascii="宋体" w:hAnsi="宋体"/>
                <w:bCs/>
                <w:szCs w:val="21"/>
              </w:rPr>
            </w:pPr>
            <w:r>
              <w:rPr>
                <w:rFonts w:hint="eastAsia" w:ascii="宋体" w:hAnsi="宋体"/>
                <w:bCs/>
                <w:szCs w:val="21"/>
              </w:rPr>
              <w:t>针应急预案的特点，建立合理、高效的应急技术支援队伍</w:t>
            </w:r>
          </w:p>
        </w:tc>
        <w:tc>
          <w:tcPr>
            <w:tcW w:w="118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应急预案演练</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演练计划制定</w:t>
            </w:r>
          </w:p>
          <w:p>
            <w:pPr>
              <w:spacing w:line="240" w:lineRule="auto"/>
              <w:rPr>
                <w:rFonts w:ascii="宋体" w:hAnsi="宋体"/>
                <w:bCs/>
                <w:szCs w:val="21"/>
              </w:rPr>
            </w:pPr>
            <w:r>
              <w:rPr>
                <w:rFonts w:hint="eastAsia" w:ascii="宋体" w:hAnsi="宋体"/>
                <w:bCs/>
                <w:szCs w:val="21"/>
              </w:rPr>
              <w:t>对</w:t>
            </w:r>
            <w:r>
              <w:rPr>
                <w:rFonts w:hint="eastAsia" w:ascii="宋体" w:hAnsi="宋体"/>
                <w:bCs/>
                <w:szCs w:val="21"/>
                <w:lang w:eastAsia="zh-CN"/>
              </w:rPr>
              <w:t>采购方</w:t>
            </w:r>
            <w:r>
              <w:rPr>
                <w:rFonts w:hint="eastAsia" w:ascii="宋体" w:hAnsi="宋体"/>
                <w:bCs/>
                <w:szCs w:val="21"/>
              </w:rPr>
              <w:t>所有重要信息系统和对公众服务的信息系统制定科学、合理的应急演练计划</w:t>
            </w:r>
          </w:p>
        </w:tc>
        <w:tc>
          <w:tcPr>
            <w:tcW w:w="118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演练预案培训</w:t>
            </w:r>
          </w:p>
          <w:p>
            <w:pPr>
              <w:spacing w:line="240" w:lineRule="auto"/>
              <w:rPr>
                <w:rFonts w:ascii="宋体" w:hAnsi="宋体"/>
                <w:bCs/>
                <w:szCs w:val="21"/>
              </w:rPr>
            </w:pPr>
            <w:r>
              <w:rPr>
                <w:rFonts w:hint="eastAsia" w:ascii="宋体" w:hAnsi="宋体"/>
                <w:bCs/>
                <w:szCs w:val="21"/>
              </w:rPr>
              <w:t>就应急预案内容对信息化相关岗位人员进行培训</w:t>
            </w:r>
          </w:p>
        </w:tc>
        <w:tc>
          <w:tcPr>
            <w:tcW w:w="118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bCs/>
                <w:szCs w:val="21"/>
              </w:rPr>
            </w:pPr>
            <w:r>
              <w:rPr>
                <w:rFonts w:hint="eastAsia" w:ascii="宋体" w:hAnsi="宋体"/>
                <w:bCs/>
                <w:szCs w:val="21"/>
              </w:rPr>
              <w:t>应急演练实施</w:t>
            </w:r>
          </w:p>
          <w:p>
            <w:pPr>
              <w:spacing w:line="240" w:lineRule="auto"/>
              <w:rPr>
                <w:rFonts w:ascii="宋体" w:hAnsi="宋体"/>
                <w:bCs/>
                <w:szCs w:val="21"/>
              </w:rPr>
            </w:pPr>
            <w:r>
              <w:rPr>
                <w:rFonts w:hint="eastAsia" w:ascii="宋体" w:hAnsi="宋体"/>
                <w:bCs/>
                <w:szCs w:val="21"/>
              </w:rPr>
              <w:t>对应急预案进行演练，验证其可行性，并对发现的问题进行修正</w:t>
            </w:r>
          </w:p>
        </w:tc>
        <w:tc>
          <w:tcPr>
            <w:tcW w:w="118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应急预案修订</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结合应急预案演练情况对预案进行修订和完善</w:t>
            </w:r>
          </w:p>
        </w:tc>
        <w:tc>
          <w:tcPr>
            <w:tcW w:w="118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r>
              <w:rPr>
                <w:rFonts w:hint="eastAsia" w:ascii="宋体" w:hAnsi="宋体"/>
                <w:bCs/>
                <w:szCs w:val="21"/>
              </w:rPr>
              <w:t>6</w:t>
            </w:r>
          </w:p>
        </w:tc>
        <w:tc>
          <w:tcPr>
            <w:tcW w:w="89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信息安全</w:t>
            </w:r>
            <w:r>
              <w:rPr>
                <w:rFonts w:hint="eastAsia" w:ascii="宋体" w:hAnsi="宋体"/>
                <w:bCs/>
                <w:szCs w:val="21"/>
                <w:lang w:val="en-US" w:eastAsia="zh-CN"/>
              </w:rPr>
              <w:t>预警</w:t>
            </w:r>
            <w:r>
              <w:rPr>
                <w:rFonts w:hint="eastAsia" w:ascii="宋体" w:hAnsi="宋体"/>
                <w:bCs/>
                <w:szCs w:val="21"/>
              </w:rPr>
              <w:t>服务</w:t>
            </w:r>
          </w:p>
        </w:tc>
        <w:tc>
          <w:tcPr>
            <w:tcW w:w="155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为</w:t>
            </w:r>
            <w:r>
              <w:rPr>
                <w:rFonts w:hint="eastAsia" w:ascii="宋体" w:hAnsi="宋体"/>
                <w:bCs/>
                <w:szCs w:val="21"/>
                <w:lang w:eastAsia="zh-CN"/>
              </w:rPr>
              <w:t>采购方</w:t>
            </w:r>
            <w:r>
              <w:rPr>
                <w:rFonts w:hint="eastAsia" w:ascii="宋体" w:hAnsi="宋体"/>
                <w:bCs/>
                <w:szCs w:val="21"/>
              </w:rPr>
              <w:t>信息系统提供例行全面的专业信息安全服务</w:t>
            </w: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lang w:val="en-US" w:eastAsia="zh-CN"/>
              </w:rPr>
              <w:t>安全</w:t>
            </w:r>
            <w:r>
              <w:rPr>
                <w:rFonts w:hint="eastAsia" w:ascii="宋体" w:hAnsi="宋体"/>
                <w:bCs/>
                <w:szCs w:val="21"/>
              </w:rPr>
              <w:t>咨询</w:t>
            </w:r>
          </w:p>
        </w:tc>
        <w:tc>
          <w:tcPr>
            <w:tcW w:w="18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对系统改造、扩建，新系统的上线等提供技术论证和安全咨询</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技术方案咨询：就新应用系统上线或网络结构改造、扩容等提供技术方案设计</w:t>
            </w:r>
          </w:p>
        </w:tc>
        <w:tc>
          <w:tcPr>
            <w:tcW w:w="118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r>
              <w:rPr>
                <w:rFonts w:hint="eastAsia" w:ascii="宋体" w:hAnsi="宋体"/>
                <w:bCs/>
                <w:szCs w:val="21"/>
              </w:rPr>
              <w:t>不限次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8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技术论证咨询：对新的安全体系的技术特点、功能进行论证</w:t>
            </w:r>
          </w:p>
        </w:tc>
        <w:tc>
          <w:tcPr>
            <w:tcW w:w="118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8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技术交流咨询：就信息安全领域新的技术、体系与客户分享</w:t>
            </w:r>
          </w:p>
        </w:tc>
        <w:tc>
          <w:tcPr>
            <w:tcW w:w="118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安全通报</w:t>
            </w:r>
          </w:p>
        </w:tc>
        <w:tc>
          <w:tcPr>
            <w:tcW w:w="18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定期通报安全行业动态、系统漏洞和病毒预警信息</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行业动态通报：对信息安全领域的动态进行通报</w:t>
            </w:r>
          </w:p>
        </w:tc>
        <w:tc>
          <w:tcPr>
            <w:tcW w:w="118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r>
              <w:rPr>
                <w:rFonts w:hint="eastAsia" w:ascii="宋体" w:hAnsi="宋体"/>
                <w:bCs/>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8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漏洞安全通报：对新出现的安全漏洞进行通报</w:t>
            </w:r>
          </w:p>
        </w:tc>
        <w:tc>
          <w:tcPr>
            <w:tcW w:w="118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8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病毒安全通报：对新出现的较严重病毒进行通报</w:t>
            </w:r>
          </w:p>
        </w:tc>
        <w:tc>
          <w:tcPr>
            <w:tcW w:w="118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r>
              <w:rPr>
                <w:rFonts w:hint="eastAsia" w:ascii="宋体" w:hAnsi="宋体"/>
                <w:bCs/>
                <w:szCs w:val="21"/>
              </w:rPr>
              <w:t>7</w:t>
            </w:r>
          </w:p>
        </w:tc>
        <w:tc>
          <w:tcPr>
            <w:tcW w:w="896"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bCs/>
                <w:szCs w:val="21"/>
              </w:rPr>
            </w:pPr>
            <w:r>
              <w:rPr>
                <w:rFonts w:hint="eastAsia" w:ascii="宋体" w:hAnsi="宋体"/>
                <w:bCs/>
                <w:szCs w:val="21"/>
              </w:rPr>
              <w:t>微信公众号</w:t>
            </w:r>
            <w:r>
              <w:rPr>
                <w:rFonts w:hint="eastAsia" w:ascii="宋体" w:hAnsi="宋体"/>
                <w:bCs/>
                <w:szCs w:val="21"/>
                <w:lang w:eastAsia="zh-CN"/>
              </w:rPr>
              <w:t>、</w:t>
            </w:r>
            <w:r>
              <w:rPr>
                <w:rFonts w:hint="eastAsia" w:ascii="宋体" w:hAnsi="宋体"/>
                <w:bCs/>
                <w:szCs w:val="21"/>
                <w:lang w:val="en-US" w:eastAsia="zh-CN"/>
              </w:rPr>
              <w:t>微信小程序、手机APP</w:t>
            </w:r>
            <w:r>
              <w:rPr>
                <w:rFonts w:hint="eastAsia" w:ascii="宋体" w:hAnsi="宋体"/>
                <w:bCs/>
                <w:szCs w:val="21"/>
              </w:rPr>
              <w:t>安全检测</w:t>
            </w:r>
          </w:p>
        </w:tc>
        <w:tc>
          <w:tcPr>
            <w:tcW w:w="269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bCs/>
                <w:szCs w:val="21"/>
              </w:rPr>
            </w:pPr>
            <w:r>
              <w:rPr>
                <w:rFonts w:hint="eastAsia" w:ascii="宋体" w:hAnsi="宋体"/>
                <w:bCs/>
                <w:szCs w:val="21"/>
              </w:rPr>
              <w:t>运行环境安全检测</w:t>
            </w:r>
          </w:p>
          <w:p>
            <w:pPr>
              <w:spacing w:line="240" w:lineRule="auto"/>
              <w:rPr>
                <w:rFonts w:hint="eastAsia" w:ascii="宋体" w:hAnsi="宋体"/>
                <w:bCs/>
                <w:szCs w:val="21"/>
              </w:rPr>
            </w:pPr>
            <w:r>
              <w:rPr>
                <w:rFonts w:hint="eastAsia" w:ascii="宋体" w:hAnsi="宋体"/>
                <w:bCs/>
                <w:szCs w:val="21"/>
              </w:rPr>
              <w:t>软件自身安全检测</w:t>
            </w:r>
          </w:p>
          <w:p>
            <w:pPr>
              <w:spacing w:line="240" w:lineRule="auto"/>
              <w:rPr>
                <w:rFonts w:hint="eastAsia" w:ascii="宋体" w:hAnsi="宋体"/>
                <w:bCs/>
                <w:szCs w:val="21"/>
              </w:rPr>
            </w:pPr>
            <w:r>
              <w:rPr>
                <w:rFonts w:hint="eastAsia" w:ascii="宋体" w:hAnsi="宋体"/>
                <w:bCs/>
                <w:szCs w:val="21"/>
              </w:rPr>
              <w:t>用户操作安全检测</w:t>
            </w:r>
          </w:p>
          <w:p>
            <w:pPr>
              <w:spacing w:line="240" w:lineRule="auto"/>
              <w:rPr>
                <w:rFonts w:hint="eastAsia" w:ascii="宋体" w:hAnsi="宋体"/>
                <w:bCs/>
                <w:szCs w:val="21"/>
              </w:rPr>
            </w:pPr>
            <w:r>
              <w:rPr>
                <w:rFonts w:hint="eastAsia" w:ascii="宋体" w:hAnsi="宋体"/>
                <w:bCs/>
                <w:szCs w:val="21"/>
              </w:rPr>
              <w:t>数据安全检测</w:t>
            </w:r>
          </w:p>
          <w:p>
            <w:pPr>
              <w:spacing w:line="240" w:lineRule="auto"/>
              <w:rPr>
                <w:rFonts w:hint="eastAsia" w:ascii="宋体" w:hAnsi="宋体"/>
                <w:bCs/>
                <w:szCs w:val="21"/>
              </w:rPr>
            </w:pPr>
            <w:r>
              <w:rPr>
                <w:rFonts w:hint="eastAsia" w:ascii="宋体" w:hAnsi="宋体"/>
                <w:bCs/>
                <w:szCs w:val="21"/>
              </w:rPr>
              <w:t>通信安全检测</w:t>
            </w:r>
          </w:p>
          <w:p>
            <w:pPr>
              <w:spacing w:line="240" w:lineRule="auto"/>
              <w:rPr>
                <w:rFonts w:hint="eastAsia" w:ascii="宋体" w:hAnsi="宋体"/>
                <w:bCs/>
                <w:szCs w:val="21"/>
              </w:rPr>
            </w:pPr>
            <w:r>
              <w:rPr>
                <w:rFonts w:hint="eastAsia" w:ascii="宋体" w:hAnsi="宋体"/>
                <w:bCs/>
                <w:szCs w:val="21"/>
              </w:rPr>
              <w:t>业务安全检测</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bCs/>
                <w:szCs w:val="21"/>
              </w:rPr>
            </w:pPr>
            <w:r>
              <w:rPr>
                <w:rFonts w:hint="eastAsia" w:ascii="宋体" w:hAnsi="宋体"/>
                <w:bCs/>
                <w:szCs w:val="21"/>
              </w:rPr>
              <w:t>通过全面深入检测，发现存在的安全问题，从而提升公众号安全现状水准及满足安全监管部门合规要求。</w:t>
            </w:r>
          </w:p>
          <w:p>
            <w:pPr>
              <w:spacing w:line="240" w:lineRule="auto"/>
              <w:rPr>
                <w:rFonts w:hint="eastAsia" w:ascii="宋体" w:hAnsi="宋体"/>
                <w:bCs/>
                <w:szCs w:val="21"/>
              </w:rPr>
            </w:pP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bCs/>
                <w:szCs w:val="21"/>
              </w:rPr>
            </w:pPr>
            <w:r>
              <w:rPr>
                <w:rFonts w:hint="eastAsia" w:ascii="宋体" w:hAnsi="宋体"/>
                <w:bCs/>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8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Theme="minorEastAsia"/>
                <w:bCs/>
                <w:szCs w:val="21"/>
                <w:lang w:eastAsia="zh-CN"/>
              </w:rPr>
            </w:pPr>
            <w:r>
              <w:rPr>
                <w:rFonts w:hint="eastAsia" w:ascii="宋体" w:hAnsi="宋体"/>
                <w:bCs/>
                <w:szCs w:val="21"/>
                <w:lang w:val="en-US" w:eastAsia="zh-CN"/>
              </w:rPr>
              <w:t>8</w:t>
            </w:r>
          </w:p>
        </w:tc>
        <w:tc>
          <w:tcPr>
            <w:tcW w:w="896"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lang w:val="en-US" w:eastAsia="zh-CN"/>
              </w:rPr>
              <w:t>其他信息安全</w:t>
            </w:r>
            <w:r>
              <w:rPr>
                <w:rFonts w:hint="eastAsia" w:ascii="宋体" w:hAnsi="宋体"/>
                <w:bCs/>
                <w:szCs w:val="21"/>
              </w:rPr>
              <w:t>相关服务</w:t>
            </w:r>
          </w:p>
        </w:tc>
        <w:tc>
          <w:tcPr>
            <w:tcW w:w="269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未在上述逐一列举的信息安全的其它服务</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bCs/>
                <w:szCs w:val="21"/>
              </w:rPr>
            </w:pPr>
            <w:r>
              <w:rPr>
                <w:rFonts w:hint="eastAsia" w:ascii="宋体" w:hAnsi="宋体"/>
                <w:bCs/>
                <w:szCs w:val="21"/>
              </w:rPr>
              <w:t>严格</w:t>
            </w:r>
            <w:r>
              <w:rPr>
                <w:rFonts w:hint="eastAsia" w:ascii="宋体" w:hAnsi="宋体"/>
                <w:bCs/>
                <w:szCs w:val="21"/>
                <w:lang w:eastAsia="zh-CN"/>
              </w:rPr>
              <w:t>、</w:t>
            </w:r>
            <w:r>
              <w:rPr>
                <w:rFonts w:hint="eastAsia" w:ascii="宋体" w:hAnsi="宋体"/>
                <w:bCs/>
                <w:szCs w:val="21"/>
              </w:rPr>
              <w:t>准时、优质的完成各项服务</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bCs/>
                <w:szCs w:val="21"/>
              </w:rPr>
            </w:pPr>
            <w:r>
              <w:rPr>
                <w:rFonts w:hint="eastAsia" w:ascii="宋体" w:hAnsi="宋体"/>
                <w:bCs/>
                <w:szCs w:val="21"/>
              </w:rPr>
              <w:t>1</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3.安全服务要求:</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（1）信息安全风险评估要求</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①风险评估的范围要全面包括采购方的所有信息系统资产；</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②对政务办公网、政务公共网、局域网的服务器、网络设备、安全设备进行详细的安全风险分析；</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③风险评估全过程产生的所有过程文档、原始数据、扫描报告、正式报告等必须进行电子和纸制双重归档，在项目结束后一并移交给采购方；</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④担任采购方计算机网络和主机系统的安全顾问，在网络和主机系统进行升级、扩建时，提供安全风险评估，并提供安全修补建议。</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（2）安全检测工具要求</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标人在项目中用于安全检测使用的安全产品必须为厂商正版授权、符合国家安全标准及采购方提出的有关质量标准的设备和产品，提供检测工具厂商的使用许可证明资料或与检测工具厂商签订的合同等证明资料，原件备查。</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微信公众号检测工具要求</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投标时需提供移动安全漏洞扫描工具厂商出具授权书。</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（4）信息安全服务要求</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①安全防范技术措施落实情况的核查务必真实准确，确保在规定的时间内完成核查并汇总成册后上报；</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②信息系统应急预案必须以信息系统真实业务流程为基础，要求真实、科学；</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③信息系统应急预案演练过程文档、会议纪要、修订文档等必须进行电子和纸制双重归档，在项目结束后一并移交给采购方；</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④服务范围和项目实施要求以市委办、市府办及信息化和信息安全相关部门等下发的关于深圳市党政机关信息安全联合检查工作的相关文件为标准。</w:t>
      </w:r>
    </w:p>
    <w:p>
      <w:pPr>
        <w:pStyle w:val="4"/>
        <w:numPr>
          <w:ilvl w:val="0"/>
          <w:numId w:val="3"/>
        </w:numPr>
        <w:bidi w:val="0"/>
        <w:ind w:left="0" w:leftChars="0" w:firstLine="643" w:firstLineChars="200"/>
        <w:rPr>
          <w:rFonts w:hint="eastAsia" w:ascii="仿宋_GB2312" w:hAnsi="仿宋_GB2312" w:eastAsia="仿宋_GB2312" w:cs="仿宋_GB2312"/>
          <w:lang w:val="en-US" w:eastAsia="zh-CN"/>
        </w:rPr>
      </w:pPr>
      <w:bookmarkStart w:id="14" w:name="_Toc13236"/>
      <w:r>
        <w:rPr>
          <w:rFonts w:hint="eastAsia" w:ascii="仿宋_GB2312" w:hAnsi="仿宋_GB2312" w:eastAsia="仿宋_GB2312" w:cs="仿宋_GB2312"/>
          <w:lang w:val="en-US" w:eastAsia="zh-CN"/>
        </w:rPr>
        <w:t>设备原厂维保服务</w:t>
      </w:r>
      <w:bookmarkEnd w:id="14"/>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购买重要设备的原厂维保服务1年。本次购买原厂维保服务的设备为：</w:t>
      </w:r>
      <w:bookmarkStart w:id="15" w:name="OLE_LINK1"/>
      <w:r>
        <w:rPr>
          <w:rFonts w:hint="eastAsia" w:ascii="仿宋_GB2312" w:hAnsi="仿宋_GB2312" w:eastAsia="仿宋_GB2312" w:cs="仿宋_GB2312"/>
          <w:sz w:val="32"/>
          <w:szCs w:val="32"/>
          <w:lang w:val="en-US" w:eastAsia="zh-CN"/>
        </w:rPr>
        <w:t>5台深信服超融合一体机aSever-2205，1套深信服桌面云系统平台</w:t>
      </w:r>
      <w:bookmarkEnd w:id="15"/>
      <w:r>
        <w:rPr>
          <w:rFonts w:hint="eastAsia" w:ascii="仿宋_GB2312" w:hAnsi="仿宋_GB2312" w:eastAsia="仿宋_GB2312" w:cs="仿宋_GB2312"/>
          <w:sz w:val="32"/>
          <w:szCs w:val="32"/>
          <w:lang w:val="en-US" w:eastAsia="zh-CN"/>
        </w:rPr>
        <w:t>。</w:t>
      </w:r>
    </w:p>
    <w:p>
      <w:pPr>
        <w:pStyle w:val="4"/>
        <w:numPr>
          <w:ilvl w:val="0"/>
          <w:numId w:val="3"/>
        </w:numPr>
        <w:bidi w:val="0"/>
        <w:ind w:left="0" w:leftChars="0" w:firstLine="643" w:firstLineChars="200"/>
        <w:rPr>
          <w:rFonts w:hint="eastAsia" w:ascii="仿宋_GB2312" w:hAnsi="仿宋_GB2312" w:eastAsia="仿宋_GB2312" w:cs="仿宋_GB2312"/>
          <w:lang w:val="en-US" w:eastAsia="zh-CN"/>
        </w:rPr>
      </w:pPr>
      <w:bookmarkStart w:id="16" w:name="_Toc26804"/>
      <w:r>
        <w:rPr>
          <w:rFonts w:hint="eastAsia" w:ascii="仿宋_GB2312" w:hAnsi="仿宋_GB2312" w:eastAsia="仿宋_GB2312" w:cs="仿宋_GB2312"/>
          <w:lang w:val="en-US" w:eastAsia="zh-CN"/>
        </w:rPr>
        <w:t>信息安全软件授权服务</w:t>
      </w:r>
      <w:bookmarkEnd w:id="16"/>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1.购买覆盖采购方政务公共网终端的企业版360（奇安信）安全软件授权服务3年；</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2.购买覆盖采购方政务办公网终端的联软准入控制软件授权服务1年；</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3.购买覆盖采购方局域网终端的企业版专用杀毒软件授权服务3年，要求软件支持无互联网升级。</w:t>
      </w:r>
    </w:p>
    <w:p>
      <w:pPr>
        <w:pStyle w:val="6"/>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以上软件授权需能覆盖采购方设备。</w:t>
      </w:r>
    </w:p>
    <w:p>
      <w:pPr>
        <w:pStyle w:val="3"/>
        <w:numPr>
          <w:ilvl w:val="0"/>
          <w:numId w:val="1"/>
        </w:numPr>
        <w:bidi w:val="0"/>
        <w:rPr>
          <w:rFonts w:hint="default"/>
          <w:b/>
          <w:sz w:val="32"/>
          <w:szCs w:val="20"/>
          <w:lang w:val="en-US" w:eastAsia="zh-CN"/>
        </w:rPr>
      </w:pPr>
      <w:bookmarkStart w:id="17" w:name="_Toc22619"/>
      <w:bookmarkStart w:id="18" w:name="_Toc25174"/>
      <w:r>
        <w:rPr>
          <w:rFonts w:hint="eastAsia"/>
          <w:b/>
          <w:sz w:val="32"/>
          <w:szCs w:val="20"/>
          <w:lang w:val="en-US" w:eastAsia="zh-CN"/>
        </w:rPr>
        <w:t>技术要求</w:t>
      </w:r>
      <w:bookmarkEnd w:id="17"/>
      <w:bookmarkEnd w:id="18"/>
    </w:p>
    <w:p>
      <w:pPr>
        <w:pStyle w:val="4"/>
        <w:numPr>
          <w:ilvl w:val="0"/>
          <w:numId w:val="0"/>
        </w:numPr>
        <w:bidi w:val="0"/>
        <w:ind w:leftChars="200"/>
        <w:rPr>
          <w:rFonts w:hint="default" w:ascii="仿宋_GB2312" w:hAnsi="仿宋_GB2312" w:eastAsia="仿宋_GB2312" w:cs="仿宋_GB2312"/>
          <w:b/>
          <w:lang w:val="en-US" w:eastAsia="zh-CN"/>
        </w:rPr>
      </w:pPr>
      <w:bookmarkStart w:id="19" w:name="_Toc29243"/>
      <w:r>
        <w:rPr>
          <w:rFonts w:hint="eastAsia" w:ascii="仿宋_GB2312" w:hAnsi="仿宋_GB2312" w:eastAsia="仿宋_GB2312" w:cs="仿宋_GB2312"/>
          <w:b/>
          <w:lang w:val="en-US" w:eastAsia="zh-CN"/>
        </w:rPr>
        <w:t>（一）人员要求</w:t>
      </w:r>
      <w:bookmarkEnd w:id="19"/>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至少2名现场驻点人员进行现场日常维护，为期一年，负责维护项目日常工作，驻点上班时间与采购方一致；投标人不得安排驻点人员承担与本项目无关的工作，否则视为违约。现场驻点人员要求至少1名具有项目经理或CISSP技术认证资格的工程师。并配备2名替补工程师，在原驻点工作人员不能到岗时替补，及驻点工作人员无法及时完成工作时临时增加驻点工作人员。</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2.提供1名安全工程师专职负责招标单位的信息安全检查服务，为期一年，专职安全工程师需具有丰富的党政机关信息安全服务项目工作经验，具有CISP技术认证资格证书。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3.不得随意更换驻点人员，如因人员辞职等原因确实需要更换的，需提前一个月书面通知采购方，取得采购方签字同意后方可更换，更换工作人员必须做好交接工作。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4.驻点和信息安全服务人员必须随合同提供无犯罪证明并签署保密协议或保密承诺书；如有人员不能提供或拒绝签署保密协议（承诺书），应更换不低于其专业技术资质的服务人员。</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5.投标人必须做好项目服务人员，特别是驻点服务人员和安全服务人员的日常新冠病毒防疫工作，人员离开深圳的，返回后应进行病毒核酸检测，并将检测报告提交采购方，检测合格后方能返岗。</w:t>
      </w:r>
    </w:p>
    <w:p>
      <w:pPr>
        <w:pStyle w:val="4"/>
        <w:numPr>
          <w:ilvl w:val="0"/>
          <w:numId w:val="0"/>
        </w:numPr>
        <w:bidi w:val="0"/>
        <w:ind w:leftChars="200"/>
        <w:rPr>
          <w:rFonts w:hint="eastAsia" w:ascii="仿宋_GB2312" w:hAnsi="仿宋_GB2312" w:eastAsia="仿宋_GB2312" w:cs="仿宋_GB2312"/>
          <w:b/>
          <w:lang w:val="en-US" w:eastAsia="zh-CN"/>
        </w:rPr>
      </w:pPr>
      <w:bookmarkStart w:id="20" w:name="_Toc14366"/>
      <w:r>
        <w:rPr>
          <w:rFonts w:hint="eastAsia" w:ascii="仿宋_GB2312" w:hAnsi="仿宋_GB2312" w:eastAsia="仿宋_GB2312" w:cs="仿宋_GB2312"/>
          <w:b/>
          <w:lang w:val="en-US" w:eastAsia="zh-CN"/>
        </w:rPr>
        <w:t>（二）服务实施能力要求</w:t>
      </w:r>
      <w:bookmarkEnd w:id="20"/>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1.系统综合诊断定位故障能力。中标人应具有在数据库、主机、存储、安全、网络等关联产品系统领域深厚的技术积累能力，以保障服务故障的快速诊断定位与解决。</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2.现场服务支持能力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（1）中标人应具备在全市范围内提供现场服务支持的能力；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（2）中标人应具备深圳市内现场服务网络，能够就近为采购方提供及时、高效的现场服务；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（3）中标人应具备在全市范围内提供损坏件更换支持的能力，对于不能在规定时限内解决的系统故障，必要时具有提供备机服务的能力。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3.服务管理能力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（1）专业服务管理机构:中标人应具备专业的服务管理组织机构，并建立有完善的技术服务管理体系；</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（2）服务流程管理能力:中标人应具有专业的服务响应中心，能够7×24小时响应采购方的服务请求，并具有流程化的管理处理能力；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（3）服务质量控制能力:中标人应配备有专职项目经理、调配专业后备技术支持团队支撑项目，并有定期回访机制，确保服务质量。中标人需与采购方签订保密协议。</w:t>
      </w:r>
    </w:p>
    <w:p>
      <w:pPr>
        <w:pStyle w:val="4"/>
        <w:numPr>
          <w:ilvl w:val="0"/>
          <w:numId w:val="0"/>
        </w:numPr>
        <w:bidi w:val="0"/>
        <w:ind w:leftChars="200"/>
        <w:rPr>
          <w:rFonts w:hint="eastAsia" w:ascii="仿宋_GB2312" w:hAnsi="仿宋_GB2312" w:eastAsia="仿宋_GB2312" w:cs="仿宋_GB2312"/>
          <w:b/>
          <w:lang w:val="en-US" w:eastAsia="zh-CN"/>
        </w:rPr>
      </w:pPr>
      <w:bookmarkStart w:id="21" w:name="_Toc497"/>
      <w:r>
        <w:rPr>
          <w:rFonts w:hint="eastAsia" w:ascii="仿宋_GB2312" w:hAnsi="仿宋_GB2312" w:eastAsia="仿宋_GB2312" w:cs="仿宋_GB2312"/>
          <w:b/>
          <w:lang w:val="en-US" w:eastAsia="zh-CN"/>
        </w:rPr>
        <w:t>（三）服务方案技术要求</w:t>
      </w:r>
      <w:bookmarkEnd w:id="21"/>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1.响应支持服务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电话支持服务：中标人应具备7×24小时的电话支持服务能力。对于实时性要求不高的服务，能够在每周一至周五，每天9：00-18：00随时响应采购方的服务请求，对于较为急迫的业务，做到每周7天，每天24小时响应采购方的服务请求，并立即提供电话支持服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（2）远程分析服务：在征得采购方允许的前提下，中标人的工程师能够通过远程拨入进行故障分析，对系统进行诊断与故障排除。</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（3）现场支持服务：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中标人应具备7×24小时的现场支持服务能力。对于实时性要求不高的服务，能够在每周一至周五，每天9：00-18：30随时响应采购方的服务请求，对于较为急迫的业务，做到每周7天，每天24小时响应采购方的服务请求，并立即提供现场支持服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②当通过远程支持不能解决问题或诊断有硬件故障，中标人应派出工程师立即赶赴故障现场进行紧急现场支持。</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（4）故障级别与服务响应速度定义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当采购方的设备发生问题时，采购方可以自己确定问题的优先级，从而得到不同的响应速度。</w:t>
      </w:r>
    </w:p>
    <w:p>
      <w:pPr>
        <w:pStyle w:val="3"/>
        <w:numPr>
          <w:ilvl w:val="0"/>
          <w:numId w:val="1"/>
        </w:numPr>
        <w:bidi w:val="0"/>
        <w:rPr>
          <w:rFonts w:hint="eastAsia"/>
          <w:b/>
          <w:sz w:val="32"/>
          <w:szCs w:val="20"/>
          <w:lang w:val="en-US" w:eastAsia="zh-CN"/>
        </w:rPr>
      </w:pPr>
      <w:bookmarkStart w:id="22" w:name="_Toc7540"/>
      <w:r>
        <w:rPr>
          <w:rFonts w:hint="eastAsia"/>
          <w:b/>
          <w:sz w:val="32"/>
          <w:szCs w:val="20"/>
          <w:lang w:val="en-US" w:eastAsia="zh-CN"/>
        </w:rPr>
        <w:t>商务需求</w:t>
      </w:r>
      <w:bookmarkEnd w:id="22"/>
    </w:p>
    <w:p>
      <w:pPr>
        <w:pStyle w:val="4"/>
        <w:numPr>
          <w:ilvl w:val="0"/>
          <w:numId w:val="4"/>
        </w:numPr>
        <w:bidi w:val="0"/>
        <w:ind w:left="0" w:leftChars="0" w:firstLine="643" w:firstLineChars="200"/>
        <w:rPr>
          <w:rFonts w:hint="eastAsia" w:ascii="仿宋_GB2312" w:hAnsi="仿宋_GB2312" w:eastAsia="仿宋_GB2312" w:cs="仿宋_GB2312"/>
          <w:lang w:val="en-US" w:eastAsia="zh-CN"/>
        </w:rPr>
      </w:pPr>
      <w:bookmarkStart w:id="23" w:name="_Toc15783"/>
      <w:r>
        <w:rPr>
          <w:rFonts w:hint="eastAsia" w:ascii="仿宋_GB2312" w:hAnsi="仿宋_GB2312" w:eastAsia="仿宋_GB2312" w:cs="仿宋_GB2312"/>
          <w:lang w:val="en-US" w:eastAsia="zh-CN"/>
        </w:rPr>
        <w:t>服务期</w:t>
      </w:r>
      <w:bookmarkEnd w:id="23"/>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本项目硬件及网络维护服务期为2021年全年，但因为涉及设备和系统较为复杂，驻点人员在服务期前后两周进行交接，特殊情况适当延迟交接时间，并无条件做好交接工作。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本项目是长期服务项目，合同期限可以延长，但最长不超过3年，具体期限由采购方根据中标供应商履约情况确定。</w:t>
      </w:r>
    </w:p>
    <w:p>
      <w:pPr>
        <w:pStyle w:val="4"/>
        <w:numPr>
          <w:ilvl w:val="0"/>
          <w:numId w:val="4"/>
        </w:numPr>
        <w:bidi w:val="0"/>
        <w:ind w:left="0" w:leftChars="0" w:firstLine="643" w:firstLineChars="200"/>
        <w:rPr>
          <w:rFonts w:hint="eastAsia" w:ascii="仿宋_GB2312" w:hAnsi="仿宋_GB2312" w:eastAsia="仿宋_GB2312" w:cs="仿宋_GB2312"/>
          <w:b/>
          <w:lang w:val="en-US" w:eastAsia="zh-CN"/>
        </w:rPr>
      </w:pPr>
      <w:bookmarkStart w:id="24" w:name="_Toc11206"/>
      <w:r>
        <w:rPr>
          <w:rFonts w:hint="eastAsia" w:ascii="仿宋_GB2312" w:hAnsi="仿宋_GB2312" w:eastAsia="仿宋_GB2312" w:cs="仿宋_GB2312"/>
          <w:b/>
          <w:lang w:val="en-US" w:eastAsia="zh-CN"/>
        </w:rPr>
        <w:t>报价要求</w:t>
      </w:r>
      <w:bookmarkEnd w:id="24"/>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项目服务费采用包干制，应包括服务成本、法定税费和企业的利润。由投标供应商根据采购文件所提供的资料自行测算投标报价；一经中标，报价总价作为中标供应商与采购方签定的合同金额，合同期限内不做调整。</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2.投标供应商应当根据本企业的成本自行决定报价，但不得以低于其企业成本的报价投标。</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3.投标供应商的报价不得超过项目预算金额。</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4.投标供应商的报价，应当是本项目采购范围和采购文件及合同条款上所列的各项内容中所述的全部，不得以任何理由予以重复。</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5.投标供应商应充分了解项目的位置、情况及任何其它足以影响投标报价的情况，任何因忽视或误解项目情况而导致的索赔将不获批准。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6.投标供应商不得期望通过索赔等方式获取补偿，否则，除可能遭到拒绝外，还可能将被作为不良行为记录在案，并可能影响其以后参加采购方的项目投标。各投标供应商在报价时，应充分考虑报价的风险。</w:t>
      </w:r>
    </w:p>
    <w:p>
      <w:pPr>
        <w:pStyle w:val="4"/>
        <w:numPr>
          <w:ilvl w:val="0"/>
          <w:numId w:val="4"/>
        </w:numPr>
        <w:bidi w:val="0"/>
        <w:ind w:left="0" w:leftChars="0" w:firstLine="643" w:firstLineChars="200"/>
        <w:rPr>
          <w:rFonts w:hint="eastAsia" w:ascii="仿宋_GB2312" w:hAnsi="仿宋_GB2312" w:eastAsia="仿宋_GB2312" w:cs="仿宋_GB2312"/>
          <w:b/>
          <w:lang w:val="en-US" w:eastAsia="zh-CN"/>
        </w:rPr>
      </w:pPr>
      <w:bookmarkStart w:id="25" w:name="_Toc16495"/>
      <w:r>
        <w:rPr>
          <w:rFonts w:hint="eastAsia" w:ascii="仿宋_GB2312" w:hAnsi="仿宋_GB2312" w:eastAsia="仿宋_GB2312" w:cs="仿宋_GB2312"/>
          <w:b/>
          <w:lang w:val="en-US" w:eastAsia="zh-CN"/>
        </w:rPr>
        <w:t>付款方式</w:t>
      </w:r>
      <w:bookmarkEnd w:id="25"/>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1.本项目分两次付款，合同签订及预算下达后支付60%合同款，剩余40%于2021年底项目验收通过后支付，付款前乙方提供甲方等额有效发票。</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2.本项目投标报价（合同价）是包含招标需求所列所有项目，投标人不得以任何理由要求采购方支付其他费用。</w:t>
      </w:r>
    </w:p>
    <w:p>
      <w:pPr>
        <w:pStyle w:val="4"/>
        <w:numPr>
          <w:ilvl w:val="0"/>
          <w:numId w:val="4"/>
        </w:numPr>
        <w:bidi w:val="0"/>
        <w:ind w:left="0" w:leftChars="0" w:firstLine="643" w:firstLineChars="200"/>
        <w:rPr>
          <w:rFonts w:hint="eastAsia" w:ascii="仿宋_GB2312" w:hAnsi="仿宋_GB2312" w:eastAsia="仿宋_GB2312" w:cs="仿宋_GB2312"/>
          <w:b/>
          <w:lang w:val="en-US" w:eastAsia="zh-CN"/>
        </w:rPr>
      </w:pPr>
      <w:bookmarkStart w:id="26" w:name="_Toc17367"/>
      <w:r>
        <w:rPr>
          <w:rFonts w:hint="eastAsia" w:ascii="仿宋_GB2312" w:hAnsi="仿宋_GB2312" w:eastAsia="仿宋_GB2312" w:cs="仿宋_GB2312"/>
          <w:b/>
          <w:lang w:val="en-US" w:eastAsia="zh-CN"/>
        </w:rPr>
        <w:t>实质性响应条款偏离表</w:t>
      </w:r>
      <w:bookmarkEnd w:id="26"/>
    </w:p>
    <w:tbl>
      <w:tblPr>
        <w:tblStyle w:val="12"/>
        <w:tblW w:w="854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9"/>
        <w:gridCol w:w="77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59" w:type="dxa"/>
            <w:noWrap w:val="0"/>
            <w:vAlign w:val="top"/>
          </w:tcPr>
          <w:p>
            <w:pPr>
              <w:adjustRightInd w:val="0"/>
              <w:snapToGrid w:val="0"/>
              <w:spacing w:line="360" w:lineRule="auto"/>
              <w:rPr>
                <w:rFonts w:hint="eastAsia" w:ascii="宋体" w:hAnsi="宋体" w:cs="宋体"/>
                <w:kern w:val="0"/>
                <w:szCs w:val="21"/>
              </w:rPr>
            </w:pPr>
            <w:r>
              <w:rPr>
                <w:rFonts w:hint="eastAsia" w:ascii="宋体" w:hAnsi="宋体" w:cs="宋体"/>
                <w:kern w:val="0"/>
                <w:szCs w:val="21"/>
              </w:rPr>
              <w:t>序号</w:t>
            </w:r>
          </w:p>
        </w:tc>
        <w:tc>
          <w:tcPr>
            <w:tcW w:w="7785" w:type="dxa"/>
            <w:noWrap w:val="0"/>
            <w:vAlign w:val="top"/>
          </w:tcPr>
          <w:p>
            <w:pPr>
              <w:adjustRightInd w:val="0"/>
              <w:snapToGrid w:val="0"/>
              <w:spacing w:line="360" w:lineRule="auto"/>
              <w:rPr>
                <w:rFonts w:hint="eastAsia" w:ascii="宋体" w:hAnsi="宋体" w:cs="宋体"/>
                <w:kern w:val="0"/>
                <w:szCs w:val="21"/>
              </w:rPr>
            </w:pPr>
            <w:r>
              <w:rPr>
                <w:rFonts w:hint="eastAsia" w:ascii="宋体" w:hAnsi="宋体" w:cs="宋体"/>
                <w:kern w:val="0"/>
                <w:szCs w:val="21"/>
              </w:rPr>
              <w:t>具体内容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59" w:type="dxa"/>
            <w:noWrap w:val="0"/>
            <w:vAlign w:val="center"/>
          </w:tcPr>
          <w:p>
            <w:pPr>
              <w:adjustRightInd w:val="0"/>
              <w:snapToGrid w:val="0"/>
              <w:spacing w:line="360" w:lineRule="auto"/>
              <w:jc w:val="center"/>
              <w:rPr>
                <w:rFonts w:hint="eastAsia" w:ascii="宋体" w:hAnsi="宋体" w:cs="宋体"/>
                <w:kern w:val="0"/>
                <w:szCs w:val="21"/>
              </w:rPr>
            </w:pPr>
            <w:r>
              <w:rPr>
                <w:rFonts w:hint="eastAsia" w:ascii="宋体" w:hAnsi="宋体" w:cs="宋体"/>
                <w:kern w:val="0"/>
                <w:szCs w:val="21"/>
              </w:rPr>
              <w:t>1</w:t>
            </w:r>
          </w:p>
        </w:tc>
        <w:tc>
          <w:tcPr>
            <w:tcW w:w="7785" w:type="dxa"/>
            <w:noWrap w:val="0"/>
            <w:vAlign w:val="top"/>
          </w:tcPr>
          <w:p>
            <w:pPr>
              <w:adjustRightInd w:val="0"/>
              <w:snapToGrid w:val="0"/>
              <w:rPr>
                <w:rFonts w:hint="eastAsia" w:ascii="宋体" w:hAnsi="宋体" w:cs="宋体"/>
                <w:kern w:val="0"/>
                <w:szCs w:val="21"/>
              </w:rPr>
            </w:pPr>
            <w:r>
              <w:rPr>
                <w:rFonts w:hint="eastAsia" w:ascii="宋体" w:hAnsi="宋体" w:cs="宋体"/>
                <w:kern w:val="0"/>
                <w:szCs w:val="21"/>
              </w:rPr>
              <w:t>服务期限：</w:t>
            </w:r>
            <w:r>
              <w:rPr>
                <w:rFonts w:hint="eastAsia" w:ascii="宋体" w:hAnsi="宋体" w:cs="宋体"/>
                <w:kern w:val="0"/>
                <w:szCs w:val="21"/>
                <w:lang w:val="en-US" w:eastAsia="zh-CN"/>
              </w:rPr>
              <w:t>2021年全年</w:t>
            </w:r>
            <w:r>
              <w:rPr>
                <w:rFonts w:hint="eastAsia" w:ascii="宋体" w:hAnsi="宋体" w:cs="宋体"/>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9" w:type="dxa"/>
            <w:noWrap w:val="0"/>
            <w:vAlign w:val="center"/>
          </w:tcPr>
          <w:p>
            <w:pPr>
              <w:adjustRightInd w:val="0"/>
              <w:snapToGrid w:val="0"/>
              <w:spacing w:line="360" w:lineRule="auto"/>
              <w:jc w:val="center"/>
              <w:rPr>
                <w:rFonts w:hint="eastAsia" w:ascii="宋体" w:hAnsi="宋体" w:cs="宋体"/>
                <w:kern w:val="0"/>
                <w:szCs w:val="21"/>
              </w:rPr>
            </w:pPr>
            <w:r>
              <w:rPr>
                <w:rFonts w:hint="eastAsia" w:ascii="宋体" w:hAnsi="宋体" w:cs="宋体"/>
                <w:kern w:val="0"/>
                <w:szCs w:val="21"/>
              </w:rPr>
              <w:t>2</w:t>
            </w:r>
          </w:p>
        </w:tc>
        <w:tc>
          <w:tcPr>
            <w:tcW w:w="7785" w:type="dxa"/>
            <w:noWrap w:val="0"/>
            <w:vAlign w:val="top"/>
          </w:tcPr>
          <w:p>
            <w:pPr>
              <w:adjustRightInd w:val="0"/>
              <w:snapToGrid w:val="0"/>
              <w:rPr>
                <w:rFonts w:hint="eastAsia"/>
              </w:rPr>
            </w:pPr>
            <w:r>
              <w:rPr>
                <w:rFonts w:hint="eastAsia"/>
              </w:rPr>
              <w:t>付款方式</w:t>
            </w:r>
            <w:r>
              <w:rPr>
                <w:rFonts w:hint="eastAsia"/>
                <w:lang w:val="en-US" w:eastAsia="zh-CN"/>
              </w:rPr>
              <w:t>及条件</w:t>
            </w:r>
            <w:r>
              <w:rPr>
                <w:rFonts w:hint="eastAsia"/>
              </w:rPr>
              <w:t>：</w:t>
            </w:r>
          </w:p>
          <w:p>
            <w:pPr>
              <w:pStyle w:val="6"/>
              <w:ind w:left="0" w:leftChars="0" w:firstLine="0" w:firstLineChars="0"/>
              <w:rPr>
                <w:rFonts w:hint="default"/>
                <w:lang w:val="en-US" w:eastAsia="zh-CN"/>
              </w:rPr>
            </w:pPr>
            <w:r>
              <w:rPr>
                <w:rFonts w:hint="eastAsia"/>
                <w:lang w:val="en-US" w:eastAsia="zh-CN"/>
              </w:rPr>
              <w:t>1.财政预算下达后付款。</w:t>
            </w:r>
          </w:p>
          <w:p>
            <w:pPr>
              <w:adjustRightInd w:val="0"/>
              <w:snapToGrid w:val="0"/>
              <w:rPr>
                <w:rFonts w:hint="eastAsia"/>
                <w:lang w:val="en-US" w:eastAsia="zh-CN"/>
              </w:rPr>
            </w:pPr>
            <w:r>
              <w:rPr>
                <w:rFonts w:hint="eastAsia"/>
                <w:lang w:val="en-US" w:eastAsia="zh-CN"/>
              </w:rPr>
              <w:t>2.合同签订且乙方提供合乎甲方要求、等额有效发票后15个工作日内，甲方向乙方支付60%合同款。</w:t>
            </w:r>
          </w:p>
          <w:p>
            <w:pPr>
              <w:adjustRightInd w:val="0"/>
              <w:snapToGrid w:val="0"/>
              <w:rPr>
                <w:rFonts w:hint="eastAsia"/>
                <w:lang w:val="en-US" w:eastAsia="zh-CN"/>
              </w:rPr>
            </w:pPr>
            <w:r>
              <w:rPr>
                <w:rFonts w:hint="eastAsia"/>
                <w:lang w:val="en-US" w:eastAsia="zh-CN"/>
              </w:rPr>
              <w:t>3.2021年底验收，验收合格后支付合同余款；乙方提供合乎甲方要求、等额的发票并提交书面服务承诺验收通过后支付</w:t>
            </w:r>
            <w:r>
              <w:rPr>
                <w:rFonts w:hint="eastAsia"/>
              </w:rPr>
              <w:t>。</w:t>
            </w:r>
            <w:r>
              <w:rPr>
                <w:rFonts w:hint="eastAsia"/>
                <w:lang w:val="en-US" w:eastAsia="zh-CN"/>
              </w:rPr>
              <w:t>验收后剩余的服务期限内，乙方必须继续履行合同，完成服务，并做好工作交接。</w:t>
            </w:r>
          </w:p>
          <w:p>
            <w:pPr>
              <w:pStyle w:val="6"/>
              <w:ind w:left="0" w:leftChars="0" w:firstLine="0" w:firstLineChars="0"/>
              <w:rPr>
                <w:rFonts w:hint="default"/>
                <w:lang w:val="en-US" w:eastAsia="zh-CN"/>
              </w:rPr>
            </w:pPr>
            <w:r>
              <w:rPr>
                <w:rFonts w:hint="eastAsia" w:cs="宋体"/>
                <w:szCs w:val="21"/>
                <w:lang w:val="en-US" w:eastAsia="zh-CN"/>
              </w:rPr>
              <w:t>4.乙方必须做好与之前服务公司的工作交接，如因本项目招标延误或其他原因导致前期服务延期的，乙方应按自然日支付原服务公司支付相应的费用，金额按中标金额中驻点维护和安全服务费用计算。</w:t>
            </w:r>
          </w:p>
        </w:tc>
      </w:tr>
    </w:tbl>
    <w:p>
      <w:pPr>
        <w:pStyle w:val="6"/>
        <w:rPr>
          <w:rFonts w:hint="eastAsia" w:ascii="宋体" w:hAnsi="宋体" w:cs="宋体"/>
          <w:b/>
          <w:bCs/>
          <w:szCs w:val="21"/>
        </w:rPr>
      </w:pPr>
      <w:r>
        <w:rPr>
          <w:rFonts w:hint="eastAsia" w:ascii="宋体" w:hAnsi="宋体" w:cs="宋体"/>
          <w:b/>
          <w:bCs/>
          <w:szCs w:val="21"/>
        </w:rPr>
        <w:t>注：上表所列内容为不可负偏离条款</w:t>
      </w:r>
    </w:p>
    <w:p>
      <w:pPr>
        <w:pStyle w:val="4"/>
        <w:numPr>
          <w:ilvl w:val="0"/>
          <w:numId w:val="4"/>
        </w:numPr>
        <w:bidi w:val="0"/>
        <w:ind w:left="0" w:leftChars="0" w:firstLine="643" w:firstLineChars="200"/>
        <w:rPr>
          <w:rFonts w:hint="eastAsia" w:ascii="仿宋_GB2312" w:hAnsi="仿宋_GB2312" w:eastAsia="仿宋_GB2312" w:cs="仿宋_GB2312"/>
          <w:b/>
          <w:lang w:val="en-US" w:eastAsia="zh-CN"/>
        </w:rPr>
      </w:pPr>
      <w:bookmarkStart w:id="27" w:name="_Toc6697"/>
      <w:r>
        <w:rPr>
          <w:rFonts w:hint="eastAsia" w:ascii="仿宋_GB2312" w:hAnsi="仿宋_GB2312" w:eastAsia="仿宋_GB2312" w:cs="仿宋_GB2312"/>
          <w:b/>
          <w:lang w:val="en-US" w:eastAsia="zh-CN"/>
        </w:rPr>
        <w:t>风险责任</w:t>
      </w:r>
      <w:bookmarkEnd w:id="27"/>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１.投标人应完全地按照项目招标（采购）文件的要求和投标（应答）文件的承诺完成本项目，出于自身财务、技术、人力等原因导致项目失败的，应承担全部责任。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2.投标人在实施过程中应对自身的安全生产负责，若由投标人原因发生的各种事故采购方不承担任何责任。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3.投标人派出的服务人员，若因从事其他单位事务引起事故和纠纷，应由投标人负责，采购方不承担任何责任。</w:t>
      </w:r>
    </w:p>
    <w:p>
      <w:pPr>
        <w:pStyle w:val="3"/>
        <w:numPr>
          <w:ilvl w:val="0"/>
          <w:numId w:val="1"/>
        </w:numPr>
        <w:bidi w:val="0"/>
        <w:rPr>
          <w:rFonts w:hint="eastAsia"/>
          <w:b/>
          <w:sz w:val="32"/>
          <w:szCs w:val="20"/>
          <w:lang w:val="en-US" w:eastAsia="zh-CN"/>
        </w:rPr>
      </w:pPr>
      <w:bookmarkStart w:id="28" w:name="_Toc18306"/>
      <w:bookmarkStart w:id="29" w:name="_Toc22915"/>
      <w:r>
        <w:rPr>
          <w:rFonts w:hint="eastAsia"/>
          <w:b/>
          <w:sz w:val="32"/>
          <w:szCs w:val="20"/>
          <w:lang w:val="en-US" w:eastAsia="zh-CN"/>
        </w:rPr>
        <w:t>开标、评标和定标</w:t>
      </w:r>
      <w:bookmarkEnd w:id="28"/>
      <w:bookmarkEnd w:id="29"/>
    </w:p>
    <w:p>
      <w:pPr>
        <w:pStyle w:val="4"/>
        <w:bidi w:val="0"/>
        <w:ind w:left="0" w:leftChars="0" w:firstLine="643" w:firstLineChars="200"/>
        <w:rPr>
          <w:rFonts w:hint="eastAsia" w:ascii="仿宋_GB2312" w:hAnsi="仿宋_GB2312" w:eastAsia="仿宋_GB2312" w:cs="仿宋_GB2312"/>
          <w:sz w:val="32"/>
          <w:szCs w:val="24"/>
        </w:rPr>
      </w:pPr>
      <w:bookmarkStart w:id="30" w:name="_Toc30912"/>
      <w:r>
        <w:rPr>
          <w:rFonts w:hint="eastAsia" w:ascii="仿宋_GB2312" w:hAnsi="仿宋_GB2312" w:eastAsia="仿宋_GB2312" w:cs="仿宋_GB2312"/>
          <w:sz w:val="32"/>
          <w:szCs w:val="24"/>
          <w:lang w:val="en-US" w:eastAsia="zh-CN"/>
        </w:rPr>
        <w:t>（一）</w:t>
      </w:r>
      <w:r>
        <w:rPr>
          <w:rFonts w:hint="eastAsia" w:ascii="仿宋_GB2312" w:hAnsi="仿宋_GB2312" w:eastAsia="仿宋_GB2312" w:cs="仿宋_GB2312"/>
          <w:sz w:val="32"/>
          <w:szCs w:val="24"/>
        </w:rPr>
        <w:t>开标</w:t>
      </w:r>
      <w:bookmarkEnd w:id="30"/>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1.采购方自行组织开标。开标时所有投标人代表不参加。</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2.开标时，由采购方采购小组检查投标文件的密封情况；经确认无误后进行拆封，宣布投标人名称、投标价格和招标文件规定的需要宣布的其他内容。</w:t>
      </w:r>
    </w:p>
    <w:p>
      <w:pPr>
        <w:pStyle w:val="4"/>
        <w:bidi w:val="0"/>
        <w:ind w:left="0" w:leftChars="0" w:firstLine="643" w:firstLineChars="200"/>
        <w:rPr>
          <w:rFonts w:hint="eastAsia" w:ascii="仿宋_GB2312" w:hAnsi="仿宋_GB2312" w:eastAsia="仿宋_GB2312" w:cs="仿宋_GB2312"/>
          <w:b/>
          <w:sz w:val="32"/>
          <w:szCs w:val="24"/>
          <w:lang w:val="en-US" w:eastAsia="zh-CN"/>
        </w:rPr>
      </w:pPr>
      <w:bookmarkStart w:id="31" w:name="_Toc6809"/>
      <w:r>
        <w:rPr>
          <w:rFonts w:hint="eastAsia" w:ascii="仿宋_GB2312" w:hAnsi="仿宋_GB2312" w:eastAsia="仿宋_GB2312" w:cs="仿宋_GB2312"/>
          <w:b/>
          <w:sz w:val="32"/>
          <w:szCs w:val="24"/>
          <w:lang w:val="en-US" w:eastAsia="zh-CN"/>
        </w:rPr>
        <w:t>（二）评标</w:t>
      </w:r>
      <w:bookmarkEnd w:id="31"/>
    </w:p>
    <w:p>
      <w:pPr>
        <w:pStyle w:val="14"/>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500" w:lineRule="exact"/>
        <w:ind w:lef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1.评标方法：本评标办法采用综合评分法。即在最大限度满足招标文件实质性要求前提下，按照招标文件规定的各项因素进行量化打分，以评标总得分最高的投标供应商作为中标供应商的评标方法。</w:t>
      </w:r>
    </w:p>
    <w:p>
      <w:pPr>
        <w:pStyle w:val="14"/>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500" w:lineRule="exact"/>
        <w:ind w:lef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2.评标步骤：</w:t>
      </w:r>
    </w:p>
    <w:p>
      <w:pPr>
        <w:pStyle w:val="14"/>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500" w:lineRule="exact"/>
        <w:ind w:lef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（1）资格性审查：开标结束后，评标人员应当依法对投标人的资格进行审查，未通过资格性审查的投标人，不进入符合性审查。</w:t>
      </w:r>
    </w:p>
    <w:p>
      <w:pPr>
        <w:pStyle w:val="14"/>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500" w:lineRule="exact"/>
        <w:ind w:lef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（2）符合性审查：评标人员应当对符合资格的投标人的投标文件进行符合性审查，以确定其是否满足招标文件的实质性要求。未通过符合性审查的投标人，不进入技术、商务和价格评审。</w:t>
      </w:r>
    </w:p>
    <w:p>
      <w:pPr>
        <w:pStyle w:val="14"/>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500" w:lineRule="exact"/>
        <w:ind w:lef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（3）详细评审及推荐中标候选人：</w:t>
      </w:r>
    </w:p>
    <w:p>
      <w:pPr>
        <w:pStyle w:val="14"/>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500" w:lineRule="exact"/>
        <w:ind w:lef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①评标人员对符合性审查合格的投标文件进行商务和技术评估，综合比较与评价，具体技术、商务、价格部分的评审因素详见《综合评分表》。</w:t>
      </w:r>
    </w:p>
    <w:p>
      <w:pPr>
        <w:pStyle w:val="14"/>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500" w:lineRule="exact"/>
        <w:ind w:lef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②评标过程中，不得去掉报价中的最高报价和最低报价。</w:t>
      </w:r>
    </w:p>
    <w:p>
      <w:pPr>
        <w:pStyle w:val="14"/>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500" w:lineRule="exact"/>
        <w:ind w:leftChars="0" w:firstLine="640" w:firstLineChars="200"/>
        <w:jc w:val="left"/>
        <w:textAlignment w:val="auto"/>
        <w:rPr>
          <w:rFonts w:hint="eastAsia" w:ascii="仿宋_GB2312" w:hAnsi="仿宋_GB2312" w:eastAsia="仿宋_GB2312" w:cs="仿宋_GB2312"/>
          <w:kern w:val="2"/>
          <w:sz w:val="32"/>
          <w:szCs w:val="32"/>
          <w:lang w:val="en-US" w:eastAsia="zh-CN" w:bidi="ar-SA"/>
        </w:rPr>
      </w:pPr>
      <w:bookmarkStart w:id="32" w:name="EB067d940baba349e582b898bfd18c9719"/>
      <w:bookmarkEnd w:id="32"/>
      <w:r>
        <w:rPr>
          <w:rFonts w:hint="eastAsia" w:ascii="仿宋_GB2312" w:hAnsi="仿宋_GB2312" w:eastAsia="仿宋_GB2312" w:cs="仿宋_GB2312"/>
          <w:kern w:val="2"/>
          <w:sz w:val="32"/>
          <w:szCs w:val="32"/>
          <w:lang w:val="en-US" w:eastAsia="zh-CN" w:bidi="ar-SA"/>
        </w:rPr>
        <w:t>③综合得分=技术得分+商务得分+价格得分。</w:t>
      </w:r>
    </w:p>
    <w:p>
      <w:pPr>
        <w:pStyle w:val="14"/>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500" w:lineRule="exact"/>
        <w:ind w:lef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③使用综合评分法的采购项目，评审得分相同的，按投标报价由低到高顺序排列；得分且投标报价相同的，由采购小组采取随机抽取方式确定。</w:t>
      </w:r>
    </w:p>
    <w:p>
      <w:pPr>
        <w:pStyle w:val="4"/>
        <w:bidi w:val="0"/>
        <w:ind w:left="0" w:leftChars="0" w:firstLine="643" w:firstLineChars="200"/>
        <w:rPr>
          <w:rFonts w:hint="eastAsia" w:ascii="仿宋_GB2312" w:hAnsi="仿宋_GB2312" w:eastAsia="仿宋_GB2312" w:cs="仿宋_GB2312"/>
          <w:b/>
          <w:sz w:val="32"/>
          <w:szCs w:val="24"/>
          <w:lang w:val="en-US" w:eastAsia="zh-CN"/>
        </w:rPr>
      </w:pPr>
      <w:bookmarkStart w:id="33" w:name="_Toc12292"/>
      <w:r>
        <w:rPr>
          <w:rFonts w:hint="eastAsia" w:ascii="仿宋_GB2312" w:hAnsi="仿宋_GB2312" w:eastAsia="仿宋_GB2312" w:cs="仿宋_GB2312"/>
          <w:b/>
          <w:sz w:val="32"/>
          <w:szCs w:val="24"/>
          <w:lang w:val="en-US" w:eastAsia="zh-CN"/>
        </w:rPr>
        <w:t>（三）定标</w:t>
      </w:r>
      <w:bookmarkEnd w:id="33"/>
    </w:p>
    <w:p>
      <w:pPr>
        <w:pStyle w:val="15"/>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500" w:lineRule="exact"/>
        <w:ind w:leftChars="0" w:firstLine="640"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采用综合评分法的，评标结果按评审后得分由高到低顺序排列。得分相同的，按投标报价由低到高顺序排列。得分且投标报价相同的并列。</w:t>
      </w:r>
    </w:p>
    <w:p>
      <w:pPr>
        <w:pStyle w:val="15"/>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500" w:lineRule="exact"/>
        <w:ind w:leftChars="0" w:firstLine="640"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按</w:t>
      </w:r>
      <w:r>
        <w:rPr>
          <w:rFonts w:hint="eastAsia" w:ascii="仿宋_GB2312" w:hAnsi="仿宋_GB2312" w:eastAsia="仿宋_GB2312" w:cs="仿宋_GB2312"/>
          <w:b w:val="0"/>
          <w:bCs w:val="0"/>
          <w:color w:val="auto"/>
          <w:sz w:val="32"/>
          <w:szCs w:val="32"/>
        </w:rPr>
        <w:t>照</w:t>
      </w:r>
      <w:r>
        <w:rPr>
          <w:rFonts w:hint="eastAsia" w:ascii="仿宋_GB2312" w:hAnsi="仿宋_GB2312" w:eastAsia="仿宋_GB2312" w:cs="仿宋_GB2312"/>
          <w:b w:val="0"/>
          <w:bCs w:val="0"/>
          <w:color w:val="auto"/>
          <w:sz w:val="32"/>
          <w:szCs w:val="32"/>
          <w:lang w:eastAsia="zh-CN"/>
        </w:rPr>
        <w:t>最高得分</w:t>
      </w:r>
      <w:r>
        <w:rPr>
          <w:rFonts w:hint="eastAsia" w:ascii="仿宋_GB2312" w:hAnsi="仿宋_GB2312" w:eastAsia="仿宋_GB2312" w:cs="仿宋_GB2312"/>
          <w:b w:val="0"/>
          <w:bCs w:val="0"/>
          <w:color w:val="auto"/>
          <w:sz w:val="32"/>
          <w:szCs w:val="32"/>
        </w:rPr>
        <w:t>的</w:t>
      </w:r>
      <w:r>
        <w:rPr>
          <w:rFonts w:hint="eastAsia" w:ascii="仿宋_GB2312" w:hAnsi="仿宋_GB2312" w:eastAsia="仿宋_GB2312" w:cs="仿宋_GB2312"/>
          <w:color w:val="auto"/>
          <w:sz w:val="32"/>
          <w:szCs w:val="32"/>
        </w:rPr>
        <w:t>定标方法进行定标。</w:t>
      </w:r>
    </w:p>
    <w:p>
      <w:pPr>
        <w:pStyle w:val="15"/>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500" w:lineRule="exact"/>
        <w:ind w:leftChars="0" w:firstLine="640"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评标</w:t>
      </w:r>
      <w:r>
        <w:rPr>
          <w:rFonts w:hint="eastAsia" w:ascii="仿宋_GB2312" w:hAnsi="仿宋_GB2312" w:eastAsia="仿宋_GB2312" w:cs="仿宋_GB2312"/>
          <w:color w:val="auto"/>
          <w:sz w:val="32"/>
          <w:szCs w:val="32"/>
          <w:lang w:eastAsia="zh-CN"/>
        </w:rPr>
        <w:t>人员</w:t>
      </w:r>
      <w:r>
        <w:rPr>
          <w:rFonts w:hint="eastAsia" w:ascii="仿宋_GB2312" w:hAnsi="仿宋_GB2312" w:eastAsia="仿宋_GB2312" w:cs="仿宋_GB2312"/>
          <w:color w:val="auto"/>
          <w:sz w:val="32"/>
          <w:szCs w:val="32"/>
        </w:rPr>
        <w:t>提交评审报告</w:t>
      </w:r>
      <w:r>
        <w:rPr>
          <w:rFonts w:hint="eastAsia" w:ascii="仿宋_GB2312" w:hAnsi="仿宋_GB2312" w:eastAsia="仿宋_GB2312" w:cs="仿宋_GB2312"/>
          <w:color w:val="auto"/>
          <w:sz w:val="32"/>
          <w:szCs w:val="32"/>
          <w:lang w:eastAsia="zh-CN"/>
        </w:rPr>
        <w:t>及采购结果，并在馆内公示</w:t>
      </w:r>
      <w:r>
        <w:rPr>
          <w:rFonts w:hint="eastAsia" w:ascii="仿宋_GB2312" w:hAnsi="仿宋_GB2312" w:eastAsia="仿宋_GB2312" w:cs="仿宋_GB2312"/>
          <w:color w:val="auto"/>
          <w:sz w:val="32"/>
          <w:szCs w:val="32"/>
          <w:lang w:val="en-US" w:eastAsia="zh-CN"/>
        </w:rPr>
        <w:t>3日</w:t>
      </w:r>
      <w:r>
        <w:rPr>
          <w:rFonts w:hint="eastAsia" w:ascii="仿宋_GB2312" w:hAnsi="仿宋_GB2312" w:eastAsia="仿宋_GB2312" w:cs="仿宋_GB2312"/>
          <w:color w:val="auto"/>
          <w:sz w:val="32"/>
          <w:szCs w:val="32"/>
        </w:rPr>
        <w:t>。不在中标名单之列者即为未中标人，</w:t>
      </w:r>
      <w:r>
        <w:rPr>
          <w:rFonts w:hint="eastAsia" w:ascii="仿宋_GB2312" w:hAnsi="仿宋_GB2312" w:eastAsia="仿宋_GB2312" w:cs="仿宋_GB2312"/>
          <w:color w:val="auto"/>
          <w:sz w:val="32"/>
          <w:szCs w:val="32"/>
          <w:lang w:eastAsia="zh-CN"/>
        </w:rPr>
        <w:t>采购方</w:t>
      </w:r>
      <w:r>
        <w:rPr>
          <w:rFonts w:hint="eastAsia" w:ascii="仿宋_GB2312" w:hAnsi="仿宋_GB2312" w:eastAsia="仿宋_GB2312" w:cs="仿宋_GB2312"/>
          <w:color w:val="auto"/>
          <w:sz w:val="32"/>
          <w:szCs w:val="32"/>
        </w:rPr>
        <w:t>不再以其他方式另行通知。</w:t>
      </w:r>
    </w:p>
    <w:p>
      <w:pPr>
        <w:pStyle w:val="15"/>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500" w:lineRule="exact"/>
        <w:ind w:leftChars="0" w:firstLine="640" w:firstLineChars="200"/>
        <w:jc w:val="left"/>
        <w:textAlignment w:val="auto"/>
        <w:rPr>
          <w:rFonts w:hint="eastAsia" w:ascii="宋体" w:hAnsi="宋体"/>
          <w:color w:val="auto"/>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中标人拒绝与</w:t>
      </w:r>
      <w:r>
        <w:rPr>
          <w:rFonts w:hint="eastAsia" w:ascii="仿宋_GB2312" w:hAnsi="仿宋_GB2312" w:eastAsia="仿宋_GB2312" w:cs="仿宋_GB2312"/>
          <w:color w:val="auto"/>
          <w:sz w:val="32"/>
          <w:szCs w:val="32"/>
          <w:lang w:eastAsia="zh-CN"/>
        </w:rPr>
        <w:t>采购方</w:t>
      </w:r>
      <w:r>
        <w:rPr>
          <w:rFonts w:hint="eastAsia" w:ascii="仿宋_GB2312" w:hAnsi="仿宋_GB2312" w:eastAsia="仿宋_GB2312" w:cs="仿宋_GB2312"/>
          <w:color w:val="auto"/>
          <w:sz w:val="32"/>
          <w:szCs w:val="32"/>
        </w:rPr>
        <w:t>签订合同的，</w:t>
      </w:r>
      <w:r>
        <w:rPr>
          <w:rFonts w:hint="eastAsia" w:ascii="仿宋_GB2312" w:hAnsi="仿宋_GB2312" w:eastAsia="仿宋_GB2312" w:cs="仿宋_GB2312"/>
          <w:color w:val="auto"/>
          <w:sz w:val="32"/>
          <w:szCs w:val="32"/>
          <w:lang w:eastAsia="zh-CN"/>
        </w:rPr>
        <w:t>采购方</w:t>
      </w:r>
      <w:r>
        <w:rPr>
          <w:rFonts w:hint="eastAsia" w:ascii="仿宋_GB2312" w:hAnsi="仿宋_GB2312" w:eastAsia="仿宋_GB2312" w:cs="仿宋_GB2312"/>
          <w:color w:val="auto"/>
          <w:sz w:val="32"/>
          <w:szCs w:val="32"/>
        </w:rPr>
        <w:t>可以按照招标文件规定的定标原则，重新确定中标人，也可以重新开展政府采购活动。</w:t>
      </w:r>
    </w:p>
    <w:p>
      <w:pPr>
        <w:rPr>
          <w:rFonts w:hint="default"/>
          <w:lang w:val="en-US" w:eastAsia="zh-CN"/>
        </w:rPr>
      </w:pPr>
    </w:p>
    <w:p>
      <w:pPr>
        <w:spacing w:line="340" w:lineRule="exact"/>
        <w:jc w:val="center"/>
        <w:rPr>
          <w:rFonts w:hint="eastAsia" w:ascii="宋体" w:hAnsi="宋体"/>
          <w:b/>
          <w:color w:val="auto"/>
          <w:sz w:val="28"/>
          <w:szCs w:val="28"/>
        </w:rPr>
      </w:pPr>
      <w:r>
        <w:rPr>
          <w:rFonts w:hint="eastAsia" w:ascii="宋体" w:hAnsi="宋体"/>
          <w:b/>
          <w:color w:val="auto"/>
          <w:sz w:val="28"/>
          <w:szCs w:val="28"/>
          <w:lang w:val="en-US" w:eastAsia="zh-CN"/>
        </w:rPr>
        <w:t>综合</w:t>
      </w:r>
      <w:r>
        <w:rPr>
          <w:rFonts w:hint="eastAsia" w:ascii="宋体" w:hAnsi="宋体"/>
          <w:b/>
          <w:color w:val="auto"/>
          <w:sz w:val="28"/>
          <w:szCs w:val="28"/>
        </w:rPr>
        <w:t>评分表</w:t>
      </w:r>
    </w:p>
    <w:p>
      <w:pPr>
        <w:pStyle w:val="6"/>
        <w:rPr>
          <w:rFonts w:hint="eastAsia"/>
        </w:rPr>
      </w:pPr>
    </w:p>
    <w:tbl>
      <w:tblPr>
        <w:tblStyle w:val="12"/>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319"/>
        <w:gridCol w:w="697"/>
        <w:gridCol w:w="5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659" w:type="dxa"/>
            <w:noWrap w:val="0"/>
            <w:vAlign w:val="center"/>
          </w:tcPr>
          <w:p>
            <w:pPr>
              <w:jc w:val="center"/>
              <w:rPr>
                <w:rFonts w:hint="eastAsia" w:ascii="宋体" w:hAnsi="宋体"/>
                <w:b/>
                <w:bCs/>
                <w:szCs w:val="21"/>
              </w:rPr>
            </w:pPr>
            <w:r>
              <w:rPr>
                <w:rFonts w:hint="eastAsia" w:ascii="宋体" w:hAnsi="宋体"/>
                <w:b/>
                <w:bCs/>
                <w:szCs w:val="21"/>
              </w:rPr>
              <w:t>序号</w:t>
            </w:r>
          </w:p>
        </w:tc>
        <w:tc>
          <w:tcPr>
            <w:tcW w:w="1319" w:type="dxa"/>
            <w:noWrap w:val="0"/>
            <w:vAlign w:val="center"/>
          </w:tcPr>
          <w:p>
            <w:pPr>
              <w:jc w:val="center"/>
              <w:rPr>
                <w:rFonts w:hint="eastAsia" w:ascii="宋体" w:hAnsi="宋体"/>
                <w:b/>
                <w:bCs/>
                <w:szCs w:val="21"/>
              </w:rPr>
            </w:pPr>
            <w:r>
              <w:rPr>
                <w:rFonts w:hint="eastAsia" w:ascii="宋体" w:hAnsi="宋体"/>
                <w:b/>
                <w:bCs/>
                <w:szCs w:val="21"/>
              </w:rPr>
              <w:t>评分因素</w:t>
            </w:r>
          </w:p>
        </w:tc>
        <w:tc>
          <w:tcPr>
            <w:tcW w:w="697" w:type="dxa"/>
            <w:noWrap w:val="0"/>
            <w:vAlign w:val="center"/>
          </w:tcPr>
          <w:p>
            <w:pPr>
              <w:jc w:val="center"/>
              <w:rPr>
                <w:rFonts w:hint="eastAsia" w:ascii="宋体" w:hAnsi="宋体"/>
                <w:b/>
                <w:bCs/>
                <w:szCs w:val="21"/>
              </w:rPr>
            </w:pPr>
            <w:r>
              <w:rPr>
                <w:rFonts w:hint="eastAsia" w:ascii="宋体" w:hAnsi="宋体"/>
                <w:b/>
                <w:bCs/>
                <w:szCs w:val="21"/>
              </w:rPr>
              <w:t>分值</w:t>
            </w:r>
          </w:p>
        </w:tc>
        <w:tc>
          <w:tcPr>
            <w:tcW w:w="5844" w:type="dxa"/>
            <w:noWrap w:val="0"/>
            <w:vAlign w:val="center"/>
          </w:tcPr>
          <w:p>
            <w:pPr>
              <w:jc w:val="center"/>
              <w:rPr>
                <w:rFonts w:hint="eastAsia" w:ascii="宋体" w:hAnsi="宋体"/>
                <w:b/>
                <w:bCs/>
                <w:szCs w:val="21"/>
              </w:rPr>
            </w:pPr>
            <w:r>
              <w:rPr>
                <w:rFonts w:hint="eastAsia" w:ascii="宋体" w:hAnsi="宋体"/>
                <w:b/>
                <w:bCs/>
                <w:szCs w:val="21"/>
              </w:rPr>
              <w:t>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9" w:type="dxa"/>
            <w:noWrap w:val="0"/>
            <w:vAlign w:val="center"/>
          </w:tcPr>
          <w:p>
            <w:pPr>
              <w:jc w:val="center"/>
              <w:rPr>
                <w:rFonts w:hint="eastAsia" w:ascii="宋体" w:hAnsi="宋体"/>
                <w:szCs w:val="21"/>
              </w:rPr>
            </w:pPr>
            <w:r>
              <w:rPr>
                <w:rFonts w:hint="eastAsia" w:ascii="宋体" w:hAnsi="宋体"/>
                <w:szCs w:val="21"/>
              </w:rPr>
              <w:t>一</w:t>
            </w:r>
          </w:p>
        </w:tc>
        <w:tc>
          <w:tcPr>
            <w:tcW w:w="1319" w:type="dxa"/>
            <w:noWrap w:val="0"/>
            <w:vAlign w:val="center"/>
          </w:tcPr>
          <w:p>
            <w:pPr>
              <w:jc w:val="center"/>
              <w:rPr>
                <w:rFonts w:hint="eastAsia" w:eastAsia="宋体"/>
                <w:lang w:eastAsia="zh-CN"/>
              </w:rPr>
            </w:pPr>
            <w:r>
              <w:rPr>
                <w:rFonts w:hint="eastAsia"/>
              </w:rPr>
              <w:t>投标报价</w:t>
            </w:r>
            <w:r>
              <w:rPr>
                <w:rFonts w:hint="eastAsia" w:ascii="宋体" w:hAnsi="宋体"/>
                <w:szCs w:val="21"/>
                <w:lang w:eastAsia="zh-CN"/>
              </w:rPr>
              <w:t>（</w:t>
            </w:r>
            <w:r>
              <w:rPr>
                <w:rFonts w:hint="eastAsia" w:ascii="宋体" w:hAnsi="宋体"/>
                <w:szCs w:val="21"/>
                <w:lang w:val="en-US" w:eastAsia="zh-CN"/>
              </w:rPr>
              <w:t>20分</w:t>
            </w:r>
            <w:r>
              <w:rPr>
                <w:rFonts w:hint="eastAsia" w:ascii="宋体" w:hAnsi="宋体"/>
                <w:szCs w:val="21"/>
                <w:lang w:eastAsia="zh-CN"/>
              </w:rPr>
              <w:t>）</w:t>
            </w:r>
          </w:p>
        </w:tc>
        <w:tc>
          <w:tcPr>
            <w:tcW w:w="697" w:type="dxa"/>
            <w:noWrap w:val="0"/>
            <w:vAlign w:val="center"/>
          </w:tcPr>
          <w:p>
            <w:pPr>
              <w:jc w:val="center"/>
              <w:rPr>
                <w:rFonts w:hint="eastAsia" w:ascii="宋体" w:hAnsi="宋体"/>
                <w:szCs w:val="21"/>
              </w:rPr>
            </w:pPr>
            <w:r>
              <w:rPr>
                <w:rFonts w:hint="eastAsia" w:ascii="宋体" w:hAnsi="宋体"/>
                <w:szCs w:val="21"/>
              </w:rPr>
              <w:t>20</w:t>
            </w:r>
          </w:p>
        </w:tc>
        <w:tc>
          <w:tcPr>
            <w:tcW w:w="5844" w:type="dxa"/>
            <w:noWrap w:val="0"/>
            <w:vAlign w:val="center"/>
          </w:tcPr>
          <w:p>
            <w:pPr>
              <w:rPr>
                <w:rFonts w:hint="eastAsia" w:ascii="宋体" w:hAnsi="宋体"/>
                <w:szCs w:val="21"/>
              </w:rPr>
            </w:pPr>
            <w:r>
              <w:rPr>
                <w:rFonts w:hint="eastAsia" w:ascii="宋体" w:hAnsi="宋体"/>
                <w:szCs w:val="21"/>
              </w:rPr>
              <w:t>得分按以下公式计算：得分=Z/Sn×20</w:t>
            </w:r>
          </w:p>
          <w:p>
            <w:pPr>
              <w:rPr>
                <w:rFonts w:hint="eastAsia" w:ascii="宋体" w:hAnsi="宋体"/>
                <w:szCs w:val="21"/>
              </w:rPr>
            </w:pPr>
            <w:r>
              <w:rPr>
                <w:rFonts w:hint="eastAsia" w:ascii="宋体" w:hAnsi="宋体"/>
                <w:szCs w:val="21"/>
              </w:rPr>
              <w:t>其中：Z----通过资格性审查和符合性审查且报价不超过预算控制金额的最低投标报价。</w:t>
            </w:r>
          </w:p>
          <w:p>
            <w:pPr>
              <w:rPr>
                <w:rFonts w:hint="eastAsia" w:ascii="宋体" w:hAnsi="宋体"/>
                <w:szCs w:val="21"/>
              </w:rPr>
            </w:pPr>
            <w:r>
              <w:rPr>
                <w:rFonts w:hint="eastAsia" w:ascii="宋体" w:hAnsi="宋体"/>
                <w:szCs w:val="21"/>
              </w:rPr>
              <w:t>Sn----通过资格性审查和符合性审查且报价不超过预算控制金额的投标报价。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9" w:type="dxa"/>
            <w:vMerge w:val="restart"/>
            <w:noWrap w:val="0"/>
            <w:vAlign w:val="center"/>
          </w:tcPr>
          <w:p>
            <w:pPr>
              <w:jc w:val="center"/>
              <w:rPr>
                <w:rFonts w:hint="eastAsia" w:ascii="宋体" w:hAnsi="宋体"/>
                <w:szCs w:val="21"/>
              </w:rPr>
            </w:pPr>
            <w:r>
              <w:rPr>
                <w:rFonts w:hint="eastAsia" w:ascii="宋体" w:hAnsi="宋体"/>
                <w:szCs w:val="21"/>
              </w:rPr>
              <w:t>二</w:t>
            </w:r>
          </w:p>
        </w:tc>
        <w:tc>
          <w:tcPr>
            <w:tcW w:w="1319"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eastAsia"/>
              </w:rPr>
            </w:pPr>
            <w:r>
              <w:rPr>
                <w:rFonts w:hint="eastAsia"/>
              </w:rPr>
              <w:t>技术部分</w:t>
            </w:r>
          </w:p>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eastAsia" w:eastAsia="宋体"/>
                <w:lang w:eastAsia="zh-CN"/>
              </w:rPr>
            </w:pPr>
            <w:r>
              <w:rPr>
                <w:rFonts w:hint="eastAsia" w:ascii="宋体" w:hAnsi="宋体"/>
                <w:szCs w:val="21"/>
                <w:lang w:eastAsia="zh-CN"/>
              </w:rPr>
              <w:t>（</w:t>
            </w:r>
            <w:r>
              <w:rPr>
                <w:rFonts w:hint="eastAsia" w:ascii="宋体" w:hAnsi="宋体"/>
                <w:szCs w:val="21"/>
                <w:lang w:val="en-US" w:eastAsia="zh-CN"/>
              </w:rPr>
              <w:t>40分</w:t>
            </w:r>
            <w:r>
              <w:rPr>
                <w:rFonts w:hint="eastAsia" w:ascii="宋体" w:hAnsi="宋体"/>
                <w:szCs w:val="21"/>
                <w:lang w:eastAsia="zh-CN"/>
              </w:rPr>
              <w:t>）</w:t>
            </w:r>
          </w:p>
        </w:tc>
        <w:tc>
          <w:tcPr>
            <w:tcW w:w="697" w:type="dxa"/>
            <w:noWrap w:val="0"/>
            <w:vAlign w:val="center"/>
          </w:tcPr>
          <w:p>
            <w:pPr>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5</w:t>
            </w:r>
          </w:p>
        </w:tc>
        <w:tc>
          <w:tcPr>
            <w:tcW w:w="5844" w:type="dxa"/>
            <w:noWrap w:val="0"/>
            <w:vAlign w:val="center"/>
          </w:tcPr>
          <w:p>
            <w:pPr>
              <w:rPr>
                <w:rFonts w:hint="eastAsia" w:ascii="宋体" w:hAnsi="宋体"/>
                <w:szCs w:val="21"/>
              </w:rPr>
            </w:pPr>
            <w:r>
              <w:rPr>
                <w:rFonts w:hint="eastAsia" w:ascii="宋体" w:hAnsi="宋体"/>
                <w:b/>
                <w:szCs w:val="21"/>
              </w:rPr>
              <w:t>1</w:t>
            </w:r>
            <w:r>
              <w:rPr>
                <w:rFonts w:hint="eastAsia" w:ascii="宋体" w:hAnsi="宋体"/>
                <w:b/>
                <w:szCs w:val="21"/>
                <w:lang w:eastAsia="zh-CN"/>
              </w:rPr>
              <w:t>.</w:t>
            </w:r>
            <w:r>
              <w:rPr>
                <w:rFonts w:hint="eastAsia" w:ascii="宋体" w:hAnsi="宋体"/>
                <w:b/>
                <w:szCs w:val="21"/>
              </w:rPr>
              <w:t>整体方案：</w:t>
            </w:r>
            <w:r>
              <w:rPr>
                <w:rFonts w:hint="eastAsia" w:ascii="宋体" w:hAnsi="宋体"/>
                <w:szCs w:val="21"/>
              </w:rPr>
              <w:t>投标人制定项目运维实施方案，专家根据实施方案内容的完整性及满足技术服务需求的情况进行横向比较，分档评分：评价为优得1</w:t>
            </w:r>
            <w:r>
              <w:rPr>
                <w:rFonts w:hint="eastAsia" w:ascii="宋体" w:hAnsi="宋体"/>
                <w:szCs w:val="21"/>
                <w:lang w:val="en-US" w:eastAsia="zh-CN"/>
              </w:rPr>
              <w:t>5</w:t>
            </w:r>
            <w:r>
              <w:rPr>
                <w:rFonts w:hint="eastAsia" w:ascii="宋体" w:hAnsi="宋体"/>
                <w:szCs w:val="21"/>
              </w:rPr>
              <w:t>分</w:t>
            </w:r>
            <w:r>
              <w:rPr>
                <w:rFonts w:hint="eastAsia" w:ascii="宋体" w:hAnsi="宋体"/>
                <w:szCs w:val="21"/>
                <w:lang w:eastAsia="zh-CN"/>
              </w:rPr>
              <w:t>（</w:t>
            </w:r>
            <w:r>
              <w:rPr>
                <w:rFonts w:hint="eastAsia" w:ascii="宋体" w:hAnsi="宋体"/>
                <w:szCs w:val="21"/>
                <w:lang w:val="en-US" w:eastAsia="zh-CN"/>
              </w:rPr>
              <w:t>方案优秀无负偏离</w:t>
            </w:r>
            <w:r>
              <w:rPr>
                <w:rFonts w:hint="eastAsia" w:ascii="宋体" w:hAnsi="宋体"/>
                <w:szCs w:val="21"/>
                <w:lang w:eastAsia="zh-CN"/>
              </w:rPr>
              <w:t>）</w:t>
            </w:r>
            <w:r>
              <w:rPr>
                <w:rFonts w:hint="eastAsia" w:ascii="宋体" w:hAnsi="宋体"/>
                <w:szCs w:val="21"/>
              </w:rPr>
              <w:t>；评价为良得</w:t>
            </w:r>
            <w:r>
              <w:rPr>
                <w:rFonts w:hint="eastAsia" w:ascii="宋体" w:hAnsi="宋体"/>
                <w:szCs w:val="21"/>
                <w:lang w:val="en-US" w:eastAsia="zh-CN"/>
              </w:rPr>
              <w:t>10</w:t>
            </w:r>
            <w:r>
              <w:rPr>
                <w:rFonts w:hint="eastAsia" w:ascii="宋体" w:hAnsi="宋体"/>
                <w:szCs w:val="21"/>
              </w:rPr>
              <w:t>分</w:t>
            </w:r>
            <w:r>
              <w:rPr>
                <w:rFonts w:hint="eastAsia" w:ascii="宋体" w:hAnsi="宋体"/>
                <w:szCs w:val="21"/>
                <w:lang w:eastAsia="zh-CN"/>
              </w:rPr>
              <w:t>（</w:t>
            </w:r>
            <w:r>
              <w:rPr>
                <w:rFonts w:hint="eastAsia" w:ascii="宋体" w:hAnsi="宋体"/>
                <w:szCs w:val="21"/>
                <w:lang w:val="en-US" w:eastAsia="zh-CN"/>
              </w:rPr>
              <w:t>方案合理无负偏离</w:t>
            </w:r>
            <w:r>
              <w:rPr>
                <w:rFonts w:hint="eastAsia" w:ascii="宋体" w:hAnsi="宋体"/>
                <w:szCs w:val="21"/>
                <w:lang w:eastAsia="zh-CN"/>
              </w:rPr>
              <w:t>）</w:t>
            </w:r>
            <w:r>
              <w:rPr>
                <w:rFonts w:hint="eastAsia" w:ascii="宋体" w:hAnsi="宋体"/>
                <w:szCs w:val="21"/>
              </w:rPr>
              <w:t>；评价为中得</w:t>
            </w:r>
            <w:r>
              <w:rPr>
                <w:rFonts w:hint="eastAsia" w:ascii="宋体" w:hAnsi="宋体"/>
                <w:szCs w:val="21"/>
                <w:lang w:val="en-US" w:eastAsia="zh-CN"/>
              </w:rPr>
              <w:t>5</w:t>
            </w:r>
            <w:r>
              <w:rPr>
                <w:rFonts w:hint="eastAsia" w:ascii="宋体" w:hAnsi="宋体"/>
                <w:szCs w:val="21"/>
              </w:rPr>
              <w:t>分；评价为差</w:t>
            </w:r>
            <w:r>
              <w:rPr>
                <w:rFonts w:hint="eastAsia" w:ascii="宋体" w:hAnsi="宋体"/>
                <w:szCs w:val="21"/>
                <w:lang w:val="en-US" w:eastAsia="zh-CN"/>
              </w:rPr>
              <w:t>得0</w:t>
            </w:r>
            <w:r>
              <w:rPr>
                <w:rFonts w:hint="eastAsia" w:ascii="宋体" w:hAnsi="宋体"/>
                <w:szCs w:val="21"/>
              </w:rPr>
              <w:t>分</w:t>
            </w:r>
            <w:r>
              <w:rPr>
                <w:rFonts w:hint="eastAsia" w:ascii="宋体" w:hAnsi="宋体"/>
                <w:szCs w:val="21"/>
                <w:lang w:eastAsia="zh-CN"/>
              </w:rPr>
              <w:t>；</w:t>
            </w:r>
            <w:r>
              <w:rPr>
                <w:rFonts w:hint="eastAsia" w:ascii="宋体" w:hAnsi="宋体"/>
                <w:szCs w:val="21"/>
                <w:lang w:val="en-US" w:eastAsia="zh-CN"/>
              </w:rPr>
              <w:t>用户需求偏离表负偏离一项扣5分，扣完为止</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9" w:type="dxa"/>
            <w:vMerge w:val="continue"/>
            <w:noWrap w:val="0"/>
            <w:vAlign w:val="center"/>
          </w:tcPr>
          <w:p>
            <w:pPr>
              <w:jc w:val="center"/>
              <w:rPr>
                <w:rFonts w:hint="eastAsia" w:ascii="宋体" w:hAnsi="宋体"/>
                <w:szCs w:val="21"/>
              </w:rPr>
            </w:pPr>
          </w:p>
        </w:tc>
        <w:tc>
          <w:tcPr>
            <w:tcW w:w="1319" w:type="dxa"/>
            <w:vMerge w:val="continue"/>
            <w:noWrap w:val="0"/>
            <w:vAlign w:val="center"/>
          </w:tcPr>
          <w:p>
            <w:pPr>
              <w:jc w:val="center"/>
              <w:rPr>
                <w:rFonts w:hint="eastAsia" w:ascii="宋体" w:hAnsi="宋体"/>
                <w:szCs w:val="21"/>
              </w:rPr>
            </w:pPr>
          </w:p>
        </w:tc>
        <w:tc>
          <w:tcPr>
            <w:tcW w:w="697" w:type="dxa"/>
            <w:noWrap w:val="0"/>
            <w:vAlign w:val="center"/>
          </w:tcPr>
          <w:p>
            <w:pPr>
              <w:jc w:val="center"/>
              <w:rPr>
                <w:rFonts w:hint="eastAsia" w:ascii="宋体" w:hAnsi="宋体"/>
                <w:szCs w:val="21"/>
              </w:rPr>
            </w:pPr>
            <w:r>
              <w:rPr>
                <w:rFonts w:hint="eastAsia" w:ascii="宋体" w:hAnsi="宋体"/>
                <w:szCs w:val="21"/>
              </w:rPr>
              <w:t>15</w:t>
            </w:r>
          </w:p>
        </w:tc>
        <w:tc>
          <w:tcPr>
            <w:tcW w:w="5844" w:type="dxa"/>
            <w:noWrap w:val="0"/>
            <w:vAlign w:val="center"/>
          </w:tcPr>
          <w:p>
            <w:pPr>
              <w:numPr>
                <w:ilvl w:val="0"/>
                <w:numId w:val="5"/>
              </w:numPr>
              <w:rPr>
                <w:rFonts w:hint="eastAsia"/>
                <w:b/>
                <w:bCs/>
              </w:rPr>
            </w:pPr>
            <w:r>
              <w:rPr>
                <w:rFonts w:hint="eastAsia"/>
                <w:b/>
                <w:bCs/>
              </w:rPr>
              <w:t>服务质量</w:t>
            </w:r>
            <w:r>
              <w:rPr>
                <w:rFonts w:hint="eastAsia"/>
                <w:b/>
                <w:bCs/>
                <w:lang w:eastAsia="zh-CN"/>
              </w:rPr>
              <w:t>情况</w:t>
            </w:r>
            <w:r>
              <w:rPr>
                <w:rFonts w:hint="eastAsia"/>
                <w:b/>
                <w:bCs/>
              </w:rPr>
              <w:t>：</w:t>
            </w:r>
          </w:p>
          <w:p>
            <w:pPr>
              <w:numPr>
                <w:ilvl w:val="0"/>
                <w:numId w:val="0"/>
              </w:numPr>
              <w:rPr>
                <w:rFonts w:hint="eastAsia"/>
                <w:highlight w:val="none"/>
              </w:rPr>
            </w:pPr>
            <w:r>
              <w:rPr>
                <w:rFonts w:hint="eastAsia" w:ascii="宋体" w:hAnsi="宋体"/>
                <w:szCs w:val="21"/>
                <w:lang w:eastAsia="zh-CN"/>
              </w:rPr>
              <w:t>（</w:t>
            </w: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rPr>
              <w:t>IT</w:t>
            </w:r>
            <w:r>
              <w:rPr>
                <w:rFonts w:hint="eastAsia"/>
                <w:highlight w:val="none"/>
              </w:rPr>
              <w:t>维保和信息安全服务：投标人具有在同一党政机关实施的连续期限满</w:t>
            </w:r>
            <w:r>
              <w:rPr>
                <w:rFonts w:hint="eastAsia"/>
                <w:highlight w:val="none"/>
                <w:lang w:val="en-US" w:eastAsia="zh-CN"/>
              </w:rPr>
              <w:t>5</w:t>
            </w:r>
            <w:r>
              <w:rPr>
                <w:rFonts w:hint="eastAsia"/>
                <w:highlight w:val="none"/>
              </w:rPr>
              <w:t>年信息安全服务或IT维保服务案例的，得1分，每增加</w:t>
            </w:r>
            <w:r>
              <w:rPr>
                <w:rFonts w:hint="eastAsia"/>
                <w:highlight w:val="none"/>
                <w:lang w:val="en-US" w:eastAsia="zh-CN"/>
              </w:rPr>
              <w:t>3</w:t>
            </w:r>
            <w:r>
              <w:rPr>
                <w:rFonts w:hint="eastAsia"/>
                <w:highlight w:val="none"/>
              </w:rPr>
              <w:t>年的加1分；以此类推，最高得</w:t>
            </w:r>
            <w:r>
              <w:rPr>
                <w:rFonts w:hint="eastAsia"/>
                <w:highlight w:val="none"/>
                <w:lang w:val="en-US" w:eastAsia="zh-CN"/>
              </w:rPr>
              <w:t>5</w:t>
            </w:r>
            <w:r>
              <w:rPr>
                <w:rFonts w:hint="eastAsia"/>
                <w:highlight w:val="none"/>
              </w:rPr>
              <w:t>分。注：提供合同及续签合同（补充协议）关键页（含签订合同双方的单位名称、合同项目名称、项目金额与含签订合同双方的落款盖章、签订日期的关键页）复印件加盖投标人公章，未提供证明材料的不得分。</w:t>
            </w:r>
          </w:p>
          <w:p>
            <w:pPr>
              <w:rPr>
                <w:rFonts w:hint="eastAsia"/>
                <w:highlight w:val="none"/>
                <w:lang w:val="en-US" w:eastAsia="zh-CN"/>
              </w:rPr>
            </w:pPr>
            <w:r>
              <w:rPr>
                <w:rFonts w:hint="eastAsia" w:ascii="宋体" w:hAnsi="宋体"/>
                <w:szCs w:val="21"/>
                <w:highlight w:val="none"/>
                <w:lang w:val="en-US" w:eastAsia="zh-CN"/>
              </w:rPr>
              <w:t>（2）</w:t>
            </w:r>
            <w:r>
              <w:rPr>
                <w:rFonts w:hint="eastAsia"/>
                <w:highlight w:val="none"/>
                <w:lang w:val="en-US" w:eastAsia="zh-CN"/>
              </w:rPr>
              <w:t>投标人所签约的信息安全服务甲方单位近五年内在副省级或以上城市党政机关信息安全的总体情况通报文件中被通报表扬的，每提供一个受表扬单位案例得1分，最高得10分。</w:t>
            </w:r>
          </w:p>
          <w:p>
            <w:pPr>
              <w:pStyle w:val="6"/>
              <w:ind w:left="0" w:leftChars="0" w:firstLine="0" w:firstLineChars="0"/>
              <w:rPr>
                <w:rFonts w:hint="eastAsia" w:eastAsia="宋体"/>
                <w:lang w:val="en-US" w:eastAsia="zh-CN"/>
              </w:rPr>
            </w:pPr>
            <w:r>
              <w:rPr>
                <w:rFonts w:hint="eastAsia" w:ascii="宋体" w:hAnsi="宋体" w:eastAsiaTheme="minorEastAsia" w:cstheme="minorBidi"/>
                <w:kern w:val="2"/>
                <w:sz w:val="21"/>
                <w:szCs w:val="21"/>
                <w:highlight w:val="none"/>
                <w:lang w:val="en-US" w:eastAsia="zh-CN" w:bidi="ar-SA"/>
              </w:rPr>
              <w:t>注：提供副省级或以上城市党政机关信息安全情况的通报文件以及与被表扬单位签订的服务合同关键信息页扫描件，原件备查，未按要求提供或提供不清晰导致专家无法判断的不得分。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9" w:type="dxa"/>
            <w:vMerge w:val="continue"/>
            <w:noWrap w:val="0"/>
            <w:vAlign w:val="center"/>
          </w:tcPr>
          <w:p>
            <w:pPr>
              <w:jc w:val="center"/>
              <w:rPr>
                <w:rFonts w:hint="eastAsia" w:ascii="宋体" w:hAnsi="宋体"/>
                <w:szCs w:val="21"/>
              </w:rPr>
            </w:pPr>
          </w:p>
        </w:tc>
        <w:tc>
          <w:tcPr>
            <w:tcW w:w="1319" w:type="dxa"/>
            <w:vMerge w:val="continue"/>
            <w:noWrap w:val="0"/>
            <w:vAlign w:val="center"/>
          </w:tcPr>
          <w:p>
            <w:pPr>
              <w:jc w:val="center"/>
              <w:rPr>
                <w:rFonts w:hint="eastAsia" w:ascii="宋体" w:hAnsi="宋体"/>
                <w:szCs w:val="21"/>
              </w:rPr>
            </w:pPr>
          </w:p>
        </w:tc>
        <w:tc>
          <w:tcPr>
            <w:tcW w:w="697"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10</w:t>
            </w:r>
          </w:p>
        </w:tc>
        <w:tc>
          <w:tcPr>
            <w:tcW w:w="5844" w:type="dxa"/>
            <w:noWrap w:val="0"/>
            <w:vAlign w:val="center"/>
          </w:tcPr>
          <w:p>
            <w:pPr>
              <w:numPr>
                <w:ilvl w:val="0"/>
                <w:numId w:val="0"/>
              </w:numPr>
              <w:rPr>
                <w:rFonts w:hint="eastAsia"/>
              </w:rPr>
            </w:pPr>
            <w:r>
              <w:rPr>
                <w:rFonts w:hint="eastAsia" w:ascii="宋体" w:hAnsi="宋体"/>
                <w:b/>
                <w:szCs w:val="21"/>
                <w:lang w:val="en-US" w:eastAsia="zh-CN"/>
              </w:rPr>
              <w:t>3.</w:t>
            </w:r>
            <w:r>
              <w:rPr>
                <w:rFonts w:hint="eastAsia" w:ascii="宋体" w:hAnsi="宋体"/>
                <w:b/>
                <w:szCs w:val="21"/>
              </w:rPr>
              <w:t>项目拟使用的工具情况：</w:t>
            </w:r>
            <w:r>
              <w:rPr>
                <w:rFonts w:hint="eastAsia" w:ascii="宋体" w:hAnsi="宋体" w:eastAsia="宋体" w:cs="宋体"/>
                <w:sz w:val="21"/>
                <w:szCs w:val="21"/>
              </w:rPr>
              <w:t>投标人具备开展业务信息系统服务器漏洞扫描、网络层扫描、移动安全漏洞扫描及对外服务网站应用层扫描所使用的专业检测工具，能提供5种及以上不同工具得</w:t>
            </w:r>
            <w:r>
              <w:rPr>
                <w:rFonts w:hint="eastAsia" w:ascii="宋体" w:hAnsi="宋体" w:eastAsia="宋体" w:cs="宋体"/>
                <w:sz w:val="21"/>
                <w:szCs w:val="21"/>
                <w:lang w:val="en-US" w:eastAsia="zh-CN"/>
              </w:rPr>
              <w:t>10</w:t>
            </w:r>
            <w:r>
              <w:rPr>
                <w:rFonts w:hint="eastAsia" w:ascii="宋体" w:hAnsi="宋体" w:eastAsia="宋体" w:cs="宋体"/>
                <w:sz w:val="21"/>
                <w:szCs w:val="21"/>
              </w:rPr>
              <w:t>分，提供4种工具得</w:t>
            </w:r>
            <w:r>
              <w:rPr>
                <w:rFonts w:hint="eastAsia" w:ascii="宋体" w:hAnsi="宋体" w:eastAsia="宋体" w:cs="宋体"/>
                <w:sz w:val="21"/>
                <w:szCs w:val="21"/>
                <w:lang w:val="en-US" w:eastAsia="zh-CN"/>
              </w:rPr>
              <w:t>7</w:t>
            </w:r>
            <w:r>
              <w:rPr>
                <w:rFonts w:hint="eastAsia" w:ascii="宋体" w:hAnsi="宋体" w:eastAsia="宋体" w:cs="宋体"/>
                <w:sz w:val="21"/>
                <w:szCs w:val="21"/>
              </w:rPr>
              <w:t>分，提供3种工具得</w:t>
            </w:r>
            <w:r>
              <w:rPr>
                <w:rFonts w:hint="eastAsia" w:ascii="宋体" w:hAnsi="宋体" w:eastAsia="宋体" w:cs="宋体"/>
                <w:sz w:val="21"/>
                <w:szCs w:val="21"/>
                <w:lang w:val="en-US" w:eastAsia="zh-CN"/>
              </w:rPr>
              <w:t>4</w:t>
            </w:r>
            <w:r>
              <w:rPr>
                <w:rFonts w:hint="eastAsia" w:ascii="宋体" w:hAnsi="宋体" w:eastAsia="宋体" w:cs="宋体"/>
                <w:sz w:val="21"/>
                <w:szCs w:val="21"/>
              </w:rPr>
              <w:t>分，提供2种及以下工具得</w:t>
            </w:r>
            <w:r>
              <w:rPr>
                <w:rFonts w:hint="eastAsia" w:ascii="宋体" w:hAnsi="宋体" w:eastAsia="宋体" w:cs="宋体"/>
                <w:sz w:val="21"/>
                <w:szCs w:val="21"/>
                <w:lang w:val="en-US" w:eastAsia="zh-CN"/>
              </w:rPr>
              <w:t>1</w:t>
            </w:r>
            <w:r>
              <w:rPr>
                <w:rFonts w:hint="eastAsia" w:ascii="宋体" w:hAnsi="宋体" w:eastAsia="宋体" w:cs="宋体"/>
                <w:sz w:val="21"/>
                <w:szCs w:val="21"/>
              </w:rPr>
              <w:t>分</w:t>
            </w:r>
            <w:r>
              <w:rPr>
                <w:rFonts w:hint="eastAsia" w:ascii="宋体" w:hAnsi="宋体" w:eastAsia="宋体" w:cs="宋体"/>
                <w:sz w:val="21"/>
                <w:szCs w:val="21"/>
                <w:lang w:val="en-US" w:eastAsia="zh-CN"/>
              </w:rPr>
              <w:t>,</w:t>
            </w:r>
            <w:r>
              <w:rPr>
                <w:rFonts w:hint="eastAsia" w:ascii="宋体" w:hAnsi="宋体" w:eastAsia="宋体" w:cs="宋体"/>
                <w:sz w:val="21"/>
                <w:szCs w:val="21"/>
              </w:rPr>
              <w:t>无专业扫描检测工具，不得分。</w:t>
            </w:r>
          </w:p>
          <w:p>
            <w:pPr>
              <w:widowControl w:val="0"/>
              <w:wordWrap w:val="0"/>
              <w:spacing w:line="240" w:lineRule="auto"/>
              <w:ind w:firstLine="0" w:firstLineChars="0"/>
              <w:jc w:val="left"/>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自行开发的专业工具软件，提供《软件著作权登记证书》扫描件。</w:t>
            </w:r>
          </w:p>
          <w:p>
            <w:pPr>
              <w:rPr>
                <w:rFonts w:ascii="宋体" w:hAnsi="宋体"/>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投标人采购</w:t>
            </w:r>
            <w:r>
              <w:rPr>
                <w:rFonts w:hint="eastAsia" w:ascii="宋体" w:hAnsi="宋体" w:eastAsia="宋体" w:cs="宋体"/>
                <w:sz w:val="21"/>
                <w:szCs w:val="21"/>
              </w:rPr>
              <w:t>的专业工具软件，要求提供检查工具品牌、型号、与工具厂商签订的合同证明资料复印件，原件备查。提供的证明文件不满足要求或未提供证明文件的不得分。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9" w:type="dxa"/>
            <w:vMerge w:val="restart"/>
            <w:noWrap w:val="0"/>
            <w:vAlign w:val="center"/>
          </w:tcPr>
          <w:p>
            <w:pPr>
              <w:jc w:val="center"/>
              <w:rPr>
                <w:rFonts w:hint="eastAsia" w:ascii="宋体" w:hAnsi="宋体"/>
                <w:szCs w:val="21"/>
              </w:rPr>
            </w:pPr>
            <w:r>
              <w:rPr>
                <w:rFonts w:hint="eastAsia" w:ascii="宋体" w:hAnsi="宋体"/>
                <w:szCs w:val="21"/>
              </w:rPr>
              <w:t>三</w:t>
            </w:r>
          </w:p>
        </w:tc>
        <w:tc>
          <w:tcPr>
            <w:tcW w:w="1319" w:type="dxa"/>
            <w:vMerge w:val="restart"/>
            <w:noWrap w:val="0"/>
            <w:vAlign w:val="center"/>
          </w:tcPr>
          <w:p>
            <w:pPr>
              <w:jc w:val="center"/>
              <w:rPr>
                <w:rFonts w:hint="eastAsia" w:eastAsia="宋体"/>
                <w:lang w:eastAsia="zh-CN"/>
              </w:rPr>
            </w:pPr>
            <w:r>
              <w:rPr>
                <w:rFonts w:hint="eastAsia"/>
              </w:rPr>
              <w:t>商务部分</w:t>
            </w:r>
            <w:r>
              <w:rPr>
                <w:rFonts w:hint="eastAsia" w:ascii="宋体" w:hAnsi="宋体"/>
                <w:szCs w:val="21"/>
                <w:lang w:eastAsia="zh-CN"/>
              </w:rPr>
              <w:t>（</w:t>
            </w:r>
            <w:r>
              <w:rPr>
                <w:rFonts w:hint="eastAsia" w:ascii="宋体" w:hAnsi="宋体"/>
                <w:szCs w:val="21"/>
                <w:lang w:val="en-US" w:eastAsia="zh-CN"/>
              </w:rPr>
              <w:t>40分</w:t>
            </w:r>
            <w:r>
              <w:rPr>
                <w:rFonts w:hint="eastAsia" w:ascii="宋体" w:hAnsi="宋体"/>
                <w:szCs w:val="21"/>
                <w:lang w:eastAsia="zh-CN"/>
              </w:rPr>
              <w:t>）</w:t>
            </w:r>
          </w:p>
        </w:tc>
        <w:tc>
          <w:tcPr>
            <w:tcW w:w="697" w:type="dxa"/>
            <w:noWrap w:val="0"/>
            <w:vAlign w:val="center"/>
          </w:tcPr>
          <w:p>
            <w:pPr>
              <w:tabs>
                <w:tab w:val="center" w:pos="267"/>
              </w:tabs>
              <w:jc w:val="center"/>
              <w:rPr>
                <w:rFonts w:hint="default" w:ascii="宋体" w:hAnsi="宋体" w:eastAsia="宋体"/>
                <w:szCs w:val="21"/>
                <w:lang w:val="en-US" w:eastAsia="zh-CN"/>
              </w:rPr>
            </w:pPr>
            <w:r>
              <w:rPr>
                <w:rFonts w:hint="eastAsia" w:ascii="宋体" w:hAnsi="宋体"/>
                <w:szCs w:val="21"/>
                <w:lang w:val="en-US" w:eastAsia="zh-CN"/>
              </w:rPr>
              <w:t>10</w:t>
            </w:r>
          </w:p>
        </w:tc>
        <w:tc>
          <w:tcPr>
            <w:tcW w:w="5844" w:type="dxa"/>
            <w:noWrap w:val="0"/>
            <w:vAlign w:val="center"/>
          </w:tcPr>
          <w:p>
            <w:pPr>
              <w:rPr>
                <w:rFonts w:hint="eastAsia" w:ascii="宋体" w:hAnsi="宋体"/>
                <w:b/>
                <w:szCs w:val="21"/>
              </w:rPr>
            </w:pPr>
            <w:r>
              <w:rPr>
                <w:rFonts w:hint="eastAsia" w:ascii="宋体" w:hAnsi="宋体"/>
                <w:b/>
                <w:szCs w:val="21"/>
              </w:rPr>
              <w:t>1</w:t>
            </w:r>
            <w:r>
              <w:rPr>
                <w:rFonts w:hint="eastAsia" w:ascii="宋体" w:hAnsi="宋体"/>
                <w:b/>
                <w:szCs w:val="21"/>
                <w:lang w:val="en-US" w:eastAsia="zh-CN"/>
              </w:rPr>
              <w:t>.</w:t>
            </w:r>
            <w:r>
              <w:rPr>
                <w:rFonts w:hint="eastAsia" w:ascii="宋体" w:hAnsi="宋体"/>
                <w:b/>
                <w:szCs w:val="21"/>
              </w:rPr>
              <w:t>投标人资质情况：</w:t>
            </w:r>
          </w:p>
          <w:p>
            <w:pPr>
              <w:rPr>
                <w:rFonts w:hint="eastAsia" w:ascii="宋体" w:hAnsi="宋体"/>
                <w:szCs w:val="21"/>
              </w:rPr>
            </w:pPr>
            <w:r>
              <w:rPr>
                <w:rFonts w:hint="eastAsia" w:ascii="宋体" w:hAnsi="宋体"/>
                <w:szCs w:val="21"/>
              </w:rPr>
              <w:t>（1）具有国家高新技术企业证书得</w:t>
            </w:r>
            <w:r>
              <w:rPr>
                <w:rFonts w:hint="eastAsia" w:ascii="宋体" w:hAnsi="宋体"/>
                <w:szCs w:val="21"/>
                <w:lang w:val="en-US" w:eastAsia="zh-CN"/>
              </w:rPr>
              <w:t>2</w:t>
            </w:r>
            <w:r>
              <w:rPr>
                <w:rFonts w:hint="eastAsia" w:ascii="宋体" w:hAnsi="宋体"/>
                <w:szCs w:val="21"/>
              </w:rPr>
              <w:t>分，无则得0分；</w:t>
            </w:r>
          </w:p>
          <w:p>
            <w:pPr>
              <w:rPr>
                <w:rFonts w:hint="eastAsia" w:ascii="宋体" w:hAnsi="宋体"/>
                <w:szCs w:val="21"/>
              </w:rPr>
            </w:pPr>
            <w:r>
              <w:rPr>
                <w:rFonts w:hint="eastAsia" w:ascii="宋体" w:hAnsi="宋体"/>
                <w:szCs w:val="21"/>
              </w:rPr>
              <w:t>（2）</w:t>
            </w:r>
            <w:r>
              <w:rPr>
                <w:rFonts w:hint="eastAsia" w:ascii="宋体" w:hAnsi="宋体" w:cs="宋体"/>
                <w:kern w:val="0"/>
                <w:szCs w:val="21"/>
              </w:rPr>
              <w:t>具有国家测评中心颁发的信息安全风险评估服务资质证书</w:t>
            </w:r>
            <w:r>
              <w:rPr>
                <w:rFonts w:hint="eastAsia" w:ascii="宋体" w:hAnsi="宋体"/>
                <w:szCs w:val="21"/>
              </w:rPr>
              <w:t>的得</w:t>
            </w:r>
            <w:r>
              <w:rPr>
                <w:rFonts w:hint="eastAsia" w:ascii="宋体" w:hAnsi="宋体"/>
                <w:szCs w:val="21"/>
                <w:lang w:val="en-US" w:eastAsia="zh-CN"/>
              </w:rPr>
              <w:t>2</w:t>
            </w:r>
            <w:r>
              <w:rPr>
                <w:rFonts w:hint="eastAsia" w:ascii="宋体" w:hAnsi="宋体"/>
                <w:szCs w:val="21"/>
              </w:rPr>
              <w:t>,无则得0分；</w:t>
            </w:r>
          </w:p>
          <w:p>
            <w:pPr>
              <w:rPr>
                <w:rFonts w:hint="eastAsia"/>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w:t>
            </w:r>
            <w:r>
              <w:rPr>
                <w:rFonts w:hint="eastAsia" w:ascii="宋体" w:hAnsi="宋体"/>
                <w:color w:val="000000"/>
                <w:szCs w:val="21"/>
              </w:rPr>
              <w:t>具有</w:t>
            </w:r>
            <w:r>
              <w:rPr>
                <w:rFonts w:hint="eastAsia" w:ascii="宋体" w:hAnsi="宋体"/>
                <w:color w:val="000000"/>
                <w:szCs w:val="21"/>
                <w:lang w:eastAsia="zh-CN"/>
              </w:rPr>
              <w:t>国家</w:t>
            </w:r>
            <w:r>
              <w:rPr>
                <w:rFonts w:hint="eastAsia" w:ascii="宋体" w:hAnsi="宋体"/>
                <w:color w:val="000000"/>
                <w:szCs w:val="21"/>
              </w:rPr>
              <w:t>网络安全审查技术与认证中心信息安全应急处理服务资质</w:t>
            </w:r>
            <w:r>
              <w:rPr>
                <w:rFonts w:hint="eastAsia" w:ascii="宋体" w:hAnsi="宋体" w:cs="宋体"/>
                <w:color w:val="000000"/>
                <w:kern w:val="0"/>
                <w:szCs w:val="21"/>
              </w:rPr>
              <w:t>证书</w:t>
            </w:r>
            <w:r>
              <w:rPr>
                <w:rFonts w:hint="eastAsia" w:ascii="宋体" w:hAnsi="宋体"/>
                <w:szCs w:val="21"/>
              </w:rPr>
              <w:t>得</w:t>
            </w:r>
            <w:r>
              <w:rPr>
                <w:rFonts w:hint="eastAsia" w:ascii="宋体" w:hAnsi="宋体"/>
                <w:szCs w:val="21"/>
                <w:lang w:val="en-US" w:eastAsia="zh-CN"/>
              </w:rPr>
              <w:t>2</w:t>
            </w:r>
            <w:r>
              <w:rPr>
                <w:rFonts w:hint="eastAsia" w:ascii="宋体" w:hAnsi="宋体"/>
                <w:szCs w:val="21"/>
              </w:rPr>
              <w:t>,无则得0分；</w:t>
            </w:r>
          </w:p>
          <w:p>
            <w:pPr>
              <w:rPr>
                <w:rFonts w:hint="eastAsia" w:ascii="宋体" w:hAnsi="宋体"/>
                <w:szCs w:val="21"/>
              </w:rPr>
            </w:pPr>
            <w:r>
              <w:rPr>
                <w:rFonts w:hint="eastAsia" w:ascii="宋体" w:hAnsi="宋体"/>
                <w:szCs w:val="21"/>
              </w:rPr>
              <w:t>（</w:t>
            </w:r>
            <w:r>
              <w:rPr>
                <w:rFonts w:hint="eastAsia" w:ascii="宋体" w:hAnsi="宋体"/>
                <w:szCs w:val="21"/>
                <w:lang w:val="en-US" w:eastAsia="zh-CN"/>
              </w:rPr>
              <w:t>4</w:t>
            </w:r>
            <w:r>
              <w:rPr>
                <w:rFonts w:hint="eastAsia" w:ascii="宋体" w:hAnsi="宋体"/>
                <w:szCs w:val="21"/>
              </w:rPr>
              <w:t>）投标人具有保密技术防护专用系统研制资格得</w:t>
            </w:r>
            <w:r>
              <w:rPr>
                <w:rFonts w:hint="eastAsia" w:ascii="宋体" w:hAnsi="宋体"/>
                <w:szCs w:val="21"/>
                <w:lang w:val="en-US" w:eastAsia="zh-CN"/>
              </w:rPr>
              <w:t>2</w:t>
            </w:r>
            <w:r>
              <w:rPr>
                <w:rFonts w:hint="eastAsia" w:ascii="宋体" w:hAnsi="宋体"/>
                <w:szCs w:val="21"/>
              </w:rPr>
              <w:t>分,无则得0分；</w:t>
            </w:r>
          </w:p>
          <w:p>
            <w:pPr>
              <w:rPr>
                <w:rFonts w:hint="eastAsia" w:eastAsiaTheme="minorEastAsia"/>
                <w:lang w:eastAsia="zh-CN"/>
              </w:rPr>
            </w:pPr>
            <w:r>
              <w:rPr>
                <w:rFonts w:hint="eastAsia" w:ascii="宋体" w:hAnsi="宋体"/>
                <w:szCs w:val="21"/>
              </w:rPr>
              <w:t>（</w:t>
            </w:r>
            <w:r>
              <w:rPr>
                <w:rFonts w:hint="eastAsia" w:ascii="宋体" w:hAnsi="宋体"/>
                <w:szCs w:val="21"/>
                <w:lang w:val="en-US" w:eastAsia="zh-CN"/>
              </w:rPr>
              <w:t>5</w:t>
            </w:r>
            <w:r>
              <w:rPr>
                <w:rFonts w:hint="eastAsia" w:ascii="宋体" w:hAnsi="宋体"/>
                <w:szCs w:val="21"/>
              </w:rPr>
              <w:t>）</w:t>
            </w:r>
            <w:r>
              <w:rPr>
                <w:rFonts w:ascii="宋体" w:hAnsi="宋体" w:cs="宋体"/>
                <w:color w:val="000000"/>
                <w:kern w:val="0"/>
                <w:szCs w:val="21"/>
              </w:rPr>
              <w:t>投标人</w:t>
            </w:r>
            <w:r>
              <w:rPr>
                <w:rFonts w:hint="eastAsia" w:ascii="宋体" w:hAnsi="宋体" w:cs="宋体"/>
                <w:color w:val="000000"/>
                <w:kern w:val="0"/>
                <w:szCs w:val="21"/>
                <w:lang w:eastAsia="zh-CN"/>
              </w:rPr>
              <w:t>是</w:t>
            </w:r>
            <w:r>
              <w:rPr>
                <w:rFonts w:ascii="宋体" w:hAnsi="宋体" w:cs="宋体"/>
                <w:color w:val="000000"/>
                <w:kern w:val="0"/>
                <w:szCs w:val="21"/>
                <w:lang w:bidi="ar"/>
              </w:rPr>
              <w:t>网络安全威胁信息共享平台合作支撑单位的</w:t>
            </w:r>
            <w:r>
              <w:rPr>
                <w:rFonts w:ascii="宋体" w:hAnsi="宋体" w:cs="宋体"/>
                <w:color w:val="000000"/>
                <w:kern w:val="0"/>
                <w:szCs w:val="21"/>
              </w:rPr>
              <w:t>得</w:t>
            </w:r>
            <w:r>
              <w:rPr>
                <w:rFonts w:hint="eastAsia" w:ascii="宋体" w:hAnsi="宋体"/>
                <w:szCs w:val="21"/>
                <w:lang w:val="en-US" w:eastAsia="zh-CN"/>
              </w:rPr>
              <w:t>2</w:t>
            </w:r>
            <w:r>
              <w:rPr>
                <w:rFonts w:hint="eastAsia" w:ascii="宋体" w:hAnsi="宋体"/>
                <w:szCs w:val="21"/>
              </w:rPr>
              <w:t>分，无则得0分</w:t>
            </w:r>
            <w:r>
              <w:rPr>
                <w:rFonts w:hint="eastAsia" w:ascii="宋体" w:hAnsi="宋体"/>
                <w:szCs w:val="21"/>
                <w:lang w:eastAsia="zh-CN"/>
              </w:rPr>
              <w:t>。</w:t>
            </w:r>
          </w:p>
          <w:p>
            <w:pP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宋体" w:hAnsi="宋体"/>
                <w:b/>
                <w:szCs w:val="21"/>
              </w:rPr>
              <w:t>注：</w:t>
            </w:r>
            <w:r>
              <w:rPr>
                <w:rFonts w:hint="eastAsia" w:ascii="宋体" w:hAnsi="宋体" w:cs="宋体"/>
                <w:kern w:val="0"/>
                <w:szCs w:val="21"/>
                <w:lang w:eastAsia="zh-CN"/>
              </w:rPr>
              <w:t>第（</w:t>
            </w:r>
            <w:r>
              <w:rPr>
                <w:rFonts w:hint="eastAsia" w:ascii="宋体" w:hAnsi="宋体" w:cs="宋体"/>
                <w:kern w:val="0"/>
                <w:szCs w:val="21"/>
                <w:lang w:val="en-US" w:eastAsia="zh-CN"/>
              </w:rPr>
              <w:t>1）（2）（3）点</w:t>
            </w:r>
            <w:r>
              <w:rPr>
                <w:rFonts w:hint="eastAsia" w:asciiTheme="minorEastAsia" w:hAnsiTheme="minorEastAsia" w:eastAsiaTheme="minorEastAsia" w:cstheme="minorEastAsia"/>
                <w:color w:val="000000" w:themeColor="text1"/>
                <w:kern w:val="0"/>
                <w:szCs w:val="21"/>
                <w14:textFill>
                  <w14:solidFill>
                    <w14:schemeClr w14:val="tx1"/>
                  </w14:solidFill>
                </w14:textFill>
              </w:rPr>
              <w:t>提供有效期内的相关证书复印件</w:t>
            </w:r>
            <w:r>
              <w:rPr>
                <w:rFonts w:hint="eastAsia" w:asciiTheme="minorEastAsia" w:hAnsiTheme="minorEastAsia" w:cstheme="minorEastAsia"/>
                <w:color w:val="000000" w:themeColor="text1"/>
                <w:kern w:val="0"/>
                <w:szCs w:val="21"/>
                <w:lang w:eastAsia="zh-CN"/>
                <w14:textFill>
                  <w14:solidFill>
                    <w14:schemeClr w14:val="tx1"/>
                  </w14:solidFill>
                </w14:textFill>
              </w:rPr>
              <w:t>；第（</w:t>
            </w:r>
            <w:r>
              <w:rPr>
                <w:rFonts w:hint="eastAsia" w:asciiTheme="minorEastAsia" w:hAnsiTheme="minorEastAsia" w:cstheme="minorEastAsia"/>
                <w:color w:val="000000" w:themeColor="text1"/>
                <w:kern w:val="0"/>
                <w:szCs w:val="21"/>
                <w:lang w:val="en-US" w:eastAsia="zh-CN"/>
                <w14:textFill>
                  <w14:solidFill>
                    <w14:schemeClr w14:val="tx1"/>
                  </w14:solidFill>
                </w14:textFill>
              </w:rPr>
              <w:t>4）提供保密局出具保密技术防护专用系统研制资格的批文扫描件；</w:t>
            </w:r>
            <w:r>
              <w:rPr>
                <w:rFonts w:hint="eastAsia" w:asciiTheme="minorEastAsia" w:hAnsiTheme="minorEastAsia" w:cstheme="minorEastAsia"/>
                <w:color w:val="000000" w:themeColor="text1"/>
                <w:kern w:val="0"/>
                <w:szCs w:val="21"/>
                <w:lang w:eastAsia="zh-CN"/>
                <w14:textFill>
                  <w14:solidFill>
                    <w14:schemeClr w14:val="tx1"/>
                  </w14:solidFill>
                </w14:textFill>
              </w:rPr>
              <w:t>第（</w:t>
            </w:r>
            <w:r>
              <w:rPr>
                <w:rFonts w:hint="eastAsia" w:asciiTheme="minorEastAsia" w:hAnsiTheme="minorEastAsia" w:cstheme="minorEastAsia"/>
                <w:color w:val="000000" w:themeColor="text1"/>
                <w:kern w:val="0"/>
                <w:szCs w:val="21"/>
                <w:lang w:val="en-US" w:eastAsia="zh-CN"/>
                <w14:textFill>
                  <w14:solidFill>
                    <w14:schemeClr w14:val="tx1"/>
                  </w14:solidFill>
                </w14:textFill>
              </w:rPr>
              <w:t>5）点</w:t>
            </w: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可通过资质授予方官方渠道查询。</w:t>
            </w:r>
          </w:p>
          <w:p>
            <w:pPr>
              <w:rPr>
                <w:rFonts w:hint="eastAsia" w:ascii="宋体" w:hAnsi="宋体" w:eastAsia="宋体"/>
                <w:szCs w:val="21"/>
                <w:lang w:eastAsia="zh-CN"/>
              </w:rPr>
            </w:pPr>
            <w:r>
              <w:rPr>
                <w:rFonts w:hint="eastAsia" w:ascii="宋体" w:hAnsi="宋体"/>
                <w:szCs w:val="21"/>
              </w:rPr>
              <w:t>提供有效期内的相关证书复印件或扫描件并加盖投标单位公章；</w:t>
            </w:r>
            <w:r>
              <w:rPr>
                <w:rFonts w:hint="eastAsia" w:asciiTheme="minorEastAsia" w:hAnsiTheme="minorEastAsia" w:cstheme="minorEastAsia"/>
                <w:color w:val="000000" w:themeColor="text1"/>
                <w:kern w:val="0"/>
                <w:szCs w:val="21"/>
                <w:lang w:val="en-US" w:eastAsia="zh-CN"/>
                <w14:textFill>
                  <w14:solidFill>
                    <w14:schemeClr w14:val="tx1"/>
                  </w14:solidFill>
                </w14:textFill>
              </w:rPr>
              <w:t>原件备查，</w:t>
            </w:r>
            <w:r>
              <w:rPr>
                <w:rFonts w:hint="eastAsia" w:ascii="宋体" w:hAnsi="宋体"/>
                <w:szCs w:val="21"/>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9" w:type="dxa"/>
            <w:vMerge w:val="continue"/>
            <w:noWrap w:val="0"/>
            <w:vAlign w:val="center"/>
          </w:tcPr>
          <w:p>
            <w:pPr>
              <w:jc w:val="center"/>
              <w:rPr>
                <w:rFonts w:hint="eastAsia" w:ascii="宋体" w:hAnsi="宋体"/>
                <w:szCs w:val="21"/>
              </w:rPr>
            </w:pPr>
          </w:p>
        </w:tc>
        <w:tc>
          <w:tcPr>
            <w:tcW w:w="1319" w:type="dxa"/>
            <w:vMerge w:val="continue"/>
            <w:noWrap w:val="0"/>
            <w:vAlign w:val="center"/>
          </w:tcPr>
          <w:p>
            <w:pPr>
              <w:jc w:val="center"/>
              <w:rPr>
                <w:rFonts w:hint="eastAsia" w:ascii="宋体" w:hAnsi="宋体"/>
                <w:szCs w:val="21"/>
              </w:rPr>
            </w:pPr>
          </w:p>
        </w:tc>
        <w:tc>
          <w:tcPr>
            <w:tcW w:w="697" w:type="dxa"/>
            <w:noWrap w:val="0"/>
            <w:vAlign w:val="center"/>
          </w:tcPr>
          <w:p>
            <w:pPr>
              <w:tabs>
                <w:tab w:val="center" w:pos="267"/>
              </w:tabs>
              <w:jc w:val="center"/>
              <w:rPr>
                <w:rFonts w:hint="default" w:ascii="宋体" w:hAnsi="宋体" w:eastAsia="宋体"/>
                <w:szCs w:val="21"/>
                <w:lang w:val="en-US" w:eastAsia="zh-CN"/>
              </w:rPr>
            </w:pPr>
            <w:r>
              <w:rPr>
                <w:rFonts w:hint="eastAsia" w:ascii="宋体" w:hAnsi="宋体"/>
                <w:szCs w:val="21"/>
                <w:lang w:val="en-US" w:eastAsia="zh-CN"/>
              </w:rPr>
              <w:t>10</w:t>
            </w:r>
          </w:p>
        </w:tc>
        <w:tc>
          <w:tcPr>
            <w:tcW w:w="5844" w:type="dxa"/>
            <w:noWrap w:val="0"/>
            <w:vAlign w:val="center"/>
          </w:tcPr>
          <w:p>
            <w:pPr>
              <w:widowControl w:val="0"/>
              <w:ind w:firstLine="0" w:firstLineChars="0"/>
              <w:jc w:val="left"/>
              <w:rPr>
                <w:rFonts w:hint="eastAsia"/>
              </w:rPr>
            </w:pPr>
            <w:r>
              <w:rPr>
                <w:rFonts w:hint="eastAsia"/>
                <w:b/>
                <w:bCs/>
              </w:rPr>
              <w:t>2</w:t>
            </w:r>
            <w:r>
              <w:rPr>
                <w:rFonts w:hint="eastAsia"/>
                <w:b/>
                <w:bCs/>
                <w:lang w:eastAsia="zh-CN"/>
              </w:rPr>
              <w:t>.</w:t>
            </w:r>
            <w:r>
              <w:rPr>
                <w:rFonts w:hint="eastAsia"/>
                <w:b/>
                <w:bCs/>
              </w:rPr>
              <w:t>拟安排的项目负责人情况</w:t>
            </w:r>
            <w:r>
              <w:rPr>
                <w:rFonts w:hint="eastAsia"/>
              </w:rPr>
              <w:t>：投标人拟安排的项目负责人必须为投标人自有员工，具有学士或以上学历，同时具有</w:t>
            </w:r>
            <w:r>
              <w:rPr>
                <w:rFonts w:hint="eastAsia"/>
                <w:lang w:eastAsia="zh-CN"/>
              </w:rPr>
              <w:t>以下工作经历及技术资格</w:t>
            </w:r>
            <w:r>
              <w:rPr>
                <w:rFonts w:hint="eastAsia"/>
              </w:rPr>
              <w:t>证书：</w:t>
            </w:r>
          </w:p>
          <w:p>
            <w:pPr>
              <w:rPr>
                <w:rFonts w:hint="eastAsia" w:eastAsiaTheme="minorEastAsia"/>
                <w:lang w:eastAsia="zh-CN"/>
              </w:rPr>
            </w:pPr>
            <w:r>
              <w:rPr>
                <w:rFonts w:hint="eastAsia"/>
                <w:lang w:val="en-US" w:eastAsia="zh-CN"/>
              </w:rPr>
              <w:t>（1）</w:t>
            </w:r>
            <w:r>
              <w:rPr>
                <w:rFonts w:hint="eastAsia"/>
              </w:rPr>
              <w:t>项目负责人</w:t>
            </w:r>
            <w:r>
              <w:rPr>
                <w:rFonts w:hint="eastAsia"/>
                <w:lang w:eastAsia="zh-CN"/>
              </w:rPr>
              <w:t>有</w:t>
            </w:r>
            <w:r>
              <w:rPr>
                <w:rFonts w:hint="eastAsia"/>
              </w:rPr>
              <w:t>参与承担制定国家信息安全技术类标准课题研究的，得</w:t>
            </w:r>
            <w:r>
              <w:rPr>
                <w:rFonts w:hint="eastAsia"/>
                <w:lang w:val="en-US" w:eastAsia="zh-CN"/>
              </w:rPr>
              <w:t>2</w:t>
            </w:r>
            <w:r>
              <w:rPr>
                <w:rFonts w:hint="eastAsia"/>
              </w:rPr>
              <w:t>分；</w:t>
            </w:r>
          </w:p>
          <w:p>
            <w:pPr>
              <w:pStyle w:val="6"/>
              <w:ind w:left="0" w:leftChars="0" w:firstLine="0" w:firstLineChars="0"/>
              <w:rPr>
                <w:rFonts w:hint="eastAsia" w:ascii="宋体" w:hAnsi="宋体" w:eastAsia="宋体" w:cs="宋体"/>
                <w:sz w:val="21"/>
                <w:szCs w:val="21"/>
                <w:lang w:eastAsia="zh-CN"/>
              </w:rPr>
            </w:pPr>
            <w:r>
              <w:rPr>
                <w:rFonts w:hint="eastAsia" w:cs="宋体"/>
                <w:kern w:val="0"/>
                <w:szCs w:val="21"/>
                <w:lang w:eastAsia="zh-CN"/>
              </w:rPr>
              <w:t>（</w:t>
            </w:r>
            <w:r>
              <w:rPr>
                <w:rFonts w:hint="eastAsia" w:cs="宋体"/>
                <w:kern w:val="0"/>
                <w:szCs w:val="21"/>
                <w:lang w:val="en-US" w:eastAsia="zh-CN"/>
              </w:rPr>
              <w:t>2</w:t>
            </w:r>
            <w:r>
              <w:rPr>
                <w:rFonts w:hint="eastAsia" w:cs="宋体"/>
                <w:kern w:val="0"/>
                <w:szCs w:val="21"/>
                <w:lang w:eastAsia="zh-CN"/>
              </w:rPr>
              <w:t>）</w:t>
            </w:r>
            <w:r>
              <w:rPr>
                <w:rFonts w:hint="eastAsia" w:ascii="宋体" w:hAnsi="宋体" w:cs="宋体"/>
                <w:kern w:val="0"/>
                <w:szCs w:val="21"/>
              </w:rPr>
              <w:t>项目负责人具有高级网络安全工程师证书、信息系统高级项目管理师证书、</w:t>
            </w:r>
            <w:r>
              <w:rPr>
                <w:rFonts w:hint="eastAsia" w:ascii="宋体" w:hAnsi="宋体" w:cs="宋体"/>
                <w:szCs w:val="21"/>
              </w:rPr>
              <w:t>CISP</w:t>
            </w:r>
            <w:r>
              <w:rPr>
                <w:rFonts w:hint="eastAsia" w:ascii="宋体" w:hAnsi="宋体" w:cs="宋体"/>
                <w:szCs w:val="21"/>
                <w:lang w:eastAsia="zh-CN"/>
              </w:rPr>
              <w:t>证书、</w:t>
            </w:r>
            <w:r>
              <w:rPr>
                <w:rFonts w:ascii="宋体" w:hAnsi="宋体" w:cs="宋体"/>
                <w:szCs w:val="21"/>
              </w:rPr>
              <w:t>PMP</w:t>
            </w:r>
            <w:r>
              <w:rPr>
                <w:rFonts w:hint="eastAsia" w:ascii="宋体" w:hAnsi="宋体" w:cs="宋体"/>
                <w:szCs w:val="21"/>
              </w:rPr>
              <w:t>证书</w:t>
            </w:r>
            <w:r>
              <w:rPr>
                <w:rFonts w:hint="eastAsia" w:ascii="宋体" w:hAnsi="宋体" w:cs="宋体"/>
                <w:szCs w:val="21"/>
                <w:lang w:eastAsia="zh-CN"/>
              </w:rPr>
              <w:t>，每个证书</w:t>
            </w:r>
            <w:r>
              <w:rPr>
                <w:rFonts w:hint="eastAsia" w:ascii="宋体" w:hAnsi="宋体" w:cs="宋体"/>
                <w:kern w:val="0"/>
                <w:szCs w:val="21"/>
              </w:rPr>
              <w:t>得</w:t>
            </w:r>
            <w:r>
              <w:rPr>
                <w:rFonts w:hint="eastAsia" w:ascii="宋体" w:hAnsi="宋体" w:cs="宋体"/>
                <w:kern w:val="0"/>
                <w:szCs w:val="21"/>
                <w:lang w:val="en-US" w:eastAsia="zh-CN"/>
              </w:rPr>
              <w:t>2</w:t>
            </w:r>
            <w:r>
              <w:rPr>
                <w:rFonts w:hint="eastAsia" w:ascii="宋体" w:hAnsi="宋体" w:cs="宋体"/>
                <w:kern w:val="0"/>
                <w:szCs w:val="21"/>
              </w:rPr>
              <w:t>分，</w:t>
            </w:r>
            <w:r>
              <w:rPr>
                <w:rFonts w:hint="eastAsia" w:ascii="宋体" w:hAnsi="宋体" w:cs="宋体"/>
                <w:kern w:val="0"/>
                <w:szCs w:val="21"/>
                <w:lang w:eastAsia="zh-CN"/>
              </w:rPr>
              <w:t>该项最高得</w:t>
            </w:r>
            <w:r>
              <w:rPr>
                <w:rFonts w:hint="eastAsia" w:ascii="宋体" w:hAnsi="宋体" w:cs="宋体"/>
                <w:kern w:val="0"/>
                <w:szCs w:val="21"/>
                <w:lang w:val="en-US" w:eastAsia="zh-CN"/>
              </w:rPr>
              <w:t>8分</w:t>
            </w:r>
          </w:p>
          <w:p>
            <w:pPr>
              <w:pStyle w:val="6"/>
              <w:ind w:left="0" w:leftChars="0" w:firstLine="0" w:firstLineChars="0"/>
              <w:rPr>
                <w:rFonts w:hint="eastAsia" w:ascii="宋体" w:hAnsi="宋体" w:eastAsia="宋体" w:cs="宋体"/>
                <w:sz w:val="21"/>
                <w:szCs w:val="21"/>
                <w:lang w:eastAsia="zh-CN"/>
              </w:rPr>
            </w:pPr>
            <w:r>
              <w:rPr>
                <w:rFonts w:hint="eastAsia" w:ascii="宋体" w:hAnsi="宋体" w:eastAsia="宋体" w:cs="宋体"/>
                <w:sz w:val="21"/>
                <w:szCs w:val="21"/>
              </w:rPr>
              <w:t>注：提供</w:t>
            </w:r>
            <w:r>
              <w:rPr>
                <w:rFonts w:hint="eastAsia" w:ascii="宋体" w:hAnsi="宋体" w:eastAsia="宋体" w:cs="宋体"/>
                <w:sz w:val="21"/>
                <w:szCs w:val="21"/>
                <w:lang w:eastAsia="zh-CN"/>
              </w:rPr>
              <w:t>学位证书、技术资格</w:t>
            </w:r>
            <w:r>
              <w:rPr>
                <w:rFonts w:hint="eastAsia" w:ascii="宋体" w:hAnsi="宋体" w:eastAsia="宋体" w:cs="宋体"/>
                <w:sz w:val="21"/>
                <w:szCs w:val="21"/>
              </w:rPr>
              <w:t>证书或相关证明文件</w:t>
            </w:r>
            <w:r>
              <w:rPr>
                <w:rFonts w:hint="eastAsia" w:ascii="宋体" w:hAnsi="宋体" w:eastAsia="宋体" w:cs="宋体"/>
                <w:sz w:val="21"/>
                <w:szCs w:val="21"/>
                <w:lang w:eastAsia="zh-CN"/>
              </w:rPr>
              <w:t>的</w:t>
            </w:r>
            <w:r>
              <w:rPr>
                <w:rFonts w:hint="eastAsia" w:ascii="宋体" w:hAnsi="宋体" w:eastAsia="宋体" w:cs="宋体"/>
                <w:sz w:val="21"/>
                <w:szCs w:val="21"/>
              </w:rPr>
              <w:t>扫描件，原件备查，未按要求提供或提供不清晰导致专家无法判断的不得分。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9" w:type="dxa"/>
            <w:vMerge w:val="continue"/>
            <w:noWrap w:val="0"/>
            <w:vAlign w:val="center"/>
          </w:tcPr>
          <w:p>
            <w:pPr>
              <w:jc w:val="center"/>
              <w:rPr>
                <w:rFonts w:hint="eastAsia" w:ascii="宋体" w:hAnsi="宋体"/>
                <w:szCs w:val="21"/>
              </w:rPr>
            </w:pPr>
          </w:p>
        </w:tc>
        <w:tc>
          <w:tcPr>
            <w:tcW w:w="1319" w:type="dxa"/>
            <w:vMerge w:val="continue"/>
            <w:noWrap w:val="0"/>
            <w:vAlign w:val="center"/>
          </w:tcPr>
          <w:p>
            <w:pPr>
              <w:jc w:val="center"/>
              <w:rPr>
                <w:rFonts w:hint="eastAsia" w:ascii="宋体" w:hAnsi="宋体"/>
                <w:szCs w:val="21"/>
              </w:rPr>
            </w:pPr>
          </w:p>
        </w:tc>
        <w:tc>
          <w:tcPr>
            <w:tcW w:w="697" w:type="dxa"/>
            <w:noWrap w:val="0"/>
            <w:vAlign w:val="center"/>
          </w:tcPr>
          <w:p>
            <w:pPr>
              <w:tabs>
                <w:tab w:val="center" w:pos="267"/>
              </w:tabs>
              <w:jc w:val="center"/>
              <w:rPr>
                <w:rFonts w:hint="default" w:ascii="宋体" w:hAnsi="宋体" w:eastAsia="宋体"/>
                <w:szCs w:val="21"/>
                <w:lang w:val="en-US" w:eastAsia="zh-CN"/>
              </w:rPr>
            </w:pPr>
            <w:r>
              <w:rPr>
                <w:rFonts w:hint="eastAsia" w:ascii="宋体" w:hAnsi="宋体"/>
                <w:szCs w:val="21"/>
                <w:lang w:val="en-US" w:eastAsia="zh-CN"/>
              </w:rPr>
              <w:t>10</w:t>
            </w:r>
          </w:p>
        </w:tc>
        <w:tc>
          <w:tcPr>
            <w:tcW w:w="5844" w:type="dxa"/>
            <w:noWrap w:val="0"/>
            <w:vAlign w:val="center"/>
          </w:tcPr>
          <w:p>
            <w:pPr>
              <w:numPr>
                <w:ilvl w:val="0"/>
                <w:numId w:val="0"/>
              </w:numPr>
              <w:ind w:leftChars="0"/>
              <w:rPr>
                <w:rFonts w:hint="eastAsia" w:ascii="宋体" w:hAnsi="宋体"/>
                <w:b/>
                <w:szCs w:val="21"/>
              </w:rPr>
            </w:pPr>
            <w:r>
              <w:rPr>
                <w:rFonts w:hint="eastAsia" w:ascii="宋体" w:hAnsi="宋体"/>
                <w:b/>
                <w:szCs w:val="21"/>
                <w:lang w:val="en-US" w:eastAsia="zh-CN"/>
              </w:rPr>
              <w:t>3.</w:t>
            </w:r>
            <w:r>
              <w:rPr>
                <w:rFonts w:hint="eastAsia" w:ascii="宋体" w:hAnsi="宋体"/>
                <w:b/>
                <w:szCs w:val="21"/>
              </w:rPr>
              <w:t>安排的项目团队成员情况（项目负责人除外）：</w:t>
            </w:r>
          </w:p>
          <w:p>
            <w:pPr>
              <w:numPr>
                <w:ilvl w:val="0"/>
                <w:numId w:val="0"/>
              </w:numPr>
              <w:ind w:leftChars="0"/>
              <w:rPr>
                <w:rFonts w:hint="eastAsia" w:ascii="宋体" w:hAnsi="宋体" w:eastAsia="宋体"/>
                <w:szCs w:val="21"/>
                <w:lang w:eastAsia="zh-CN"/>
              </w:rPr>
            </w:pPr>
            <w:r>
              <w:rPr>
                <w:rFonts w:hint="eastAsia" w:ascii="宋体" w:hAnsi="宋体" w:eastAsia="宋体" w:cs="Times New Roman"/>
                <w:szCs w:val="21"/>
              </w:rPr>
              <w:t>投标人须承诺拟安排人员为本单位正式员工，</w:t>
            </w:r>
            <w:r>
              <w:rPr>
                <w:rFonts w:hint="eastAsia" w:ascii="宋体" w:hAnsi="宋体"/>
                <w:szCs w:val="21"/>
              </w:rPr>
              <w:t>须承诺项目团队成员不少于</w:t>
            </w:r>
            <w:r>
              <w:rPr>
                <w:rFonts w:hint="eastAsia" w:ascii="宋体" w:hAnsi="宋体"/>
                <w:szCs w:val="21"/>
                <w:lang w:val="en-US" w:eastAsia="zh-CN"/>
              </w:rPr>
              <w:t>7</w:t>
            </w:r>
            <w:r>
              <w:rPr>
                <w:rFonts w:hint="eastAsia" w:ascii="宋体" w:hAnsi="宋体"/>
                <w:szCs w:val="21"/>
              </w:rPr>
              <w:t>人，</w:t>
            </w:r>
            <w:r>
              <w:rPr>
                <w:rFonts w:hint="eastAsia" w:ascii="宋体" w:hAnsi="宋体"/>
                <w:szCs w:val="21"/>
                <w:lang w:val="en-US" w:eastAsia="zh-CN"/>
              </w:rPr>
              <w:t>2</w:t>
            </w:r>
            <w:r>
              <w:rPr>
                <w:rFonts w:hint="eastAsia" w:ascii="宋体" w:hAnsi="宋体"/>
                <w:szCs w:val="21"/>
              </w:rPr>
              <w:t>名技术人员驻场办公，不承诺此项不得分（提供驻场承诺书加盖公章)</w:t>
            </w:r>
            <w:r>
              <w:rPr>
                <w:rFonts w:hint="eastAsia" w:ascii="宋体" w:hAnsi="宋体"/>
                <w:szCs w:val="21"/>
                <w:lang w:eastAsia="zh-CN"/>
              </w:rPr>
              <w:t>；</w:t>
            </w:r>
            <w:r>
              <w:rPr>
                <w:rFonts w:hint="eastAsia" w:ascii="宋体" w:hAnsi="宋体" w:eastAsia="宋体" w:cs="Times New Roman"/>
                <w:szCs w:val="21"/>
              </w:rPr>
              <w:t>如有虚假，将做投标无效处理，涉嫌存在违法违规行为的，依法报主管部门处理处罚。在此基础上，按以下标准评分</w:t>
            </w:r>
            <w:r>
              <w:rPr>
                <w:rFonts w:hint="eastAsia" w:ascii="宋体" w:hAnsi="宋体" w:eastAsia="宋体" w:cs="Times New Roman"/>
                <w:szCs w:val="21"/>
                <w:lang w:eastAsia="zh-CN"/>
              </w:rPr>
              <w:t>：</w:t>
            </w:r>
          </w:p>
          <w:p>
            <w:pPr>
              <w:rPr>
                <w:rFonts w:hint="eastAsia" w:ascii="宋体" w:hAnsi="宋体" w:eastAsia="宋体" w:cs="宋体"/>
                <w:sz w:val="21"/>
                <w:szCs w:val="21"/>
                <w:lang w:val="en-US" w:eastAsia="zh-CN"/>
              </w:rPr>
            </w:pPr>
            <w:r>
              <w:rPr>
                <w:rFonts w:hint="eastAsia" w:ascii="宋体" w:hAnsi="宋体"/>
                <w:szCs w:val="21"/>
              </w:rPr>
              <w:t>（</w:t>
            </w:r>
            <w:r>
              <w:rPr>
                <w:rFonts w:hint="eastAsia" w:ascii="宋体" w:hAnsi="宋体"/>
                <w:szCs w:val="21"/>
                <w:lang w:val="en-US" w:eastAsia="zh-CN"/>
              </w:rPr>
              <w:t>1</w:t>
            </w:r>
            <w:r>
              <w:rPr>
                <w:rFonts w:hint="eastAsia" w:ascii="宋体" w:hAnsi="宋体"/>
                <w:szCs w:val="21"/>
              </w:rPr>
              <w:t>）</w:t>
            </w:r>
            <w:r>
              <w:rPr>
                <w:rFonts w:hint="eastAsia" w:ascii="宋体" w:hAnsi="宋体" w:cs="宋体"/>
                <w:sz w:val="21"/>
                <w:szCs w:val="21"/>
                <w:lang w:val="en-US" w:eastAsia="zh-CN"/>
              </w:rPr>
              <w:t>1</w:t>
            </w:r>
            <w:r>
              <w:rPr>
                <w:rFonts w:hint="eastAsia" w:ascii="宋体" w:hAnsi="宋体" w:eastAsia="宋体" w:cs="宋体"/>
                <w:sz w:val="21"/>
                <w:szCs w:val="21"/>
              </w:rPr>
              <w:t>名</w:t>
            </w:r>
            <w:r>
              <w:rPr>
                <w:rFonts w:hint="eastAsia" w:ascii="宋体" w:hAnsi="宋体" w:cs="宋体"/>
                <w:sz w:val="21"/>
                <w:szCs w:val="21"/>
                <w:lang w:eastAsia="zh-CN"/>
              </w:rPr>
              <w:t>驻场工程师同时具有</w:t>
            </w:r>
            <w:r>
              <w:rPr>
                <w:rFonts w:hint="eastAsia" w:ascii="宋体" w:hAnsi="宋体" w:cs="宋体"/>
                <w:sz w:val="21"/>
                <w:szCs w:val="21"/>
                <w:lang w:val="en-US" w:eastAsia="zh-CN"/>
              </w:rPr>
              <w:t>ISO/IEC</w:t>
            </w:r>
            <w:r>
              <w:rPr>
                <w:rFonts w:hint="eastAsia" w:ascii="宋体" w:hAnsi="宋体" w:cs="宋体"/>
                <w:sz w:val="21"/>
                <w:szCs w:val="21"/>
                <w:lang w:eastAsia="zh-CN"/>
              </w:rPr>
              <w:t>-27001证书、华为云HCNA证书得</w:t>
            </w:r>
            <w:r>
              <w:rPr>
                <w:rFonts w:hint="eastAsia" w:ascii="宋体" w:hAnsi="宋体" w:cs="宋体"/>
                <w:sz w:val="21"/>
                <w:szCs w:val="21"/>
                <w:lang w:val="en-US" w:eastAsia="zh-CN"/>
              </w:rPr>
              <w:t>2分；</w:t>
            </w:r>
          </w:p>
          <w:p>
            <w:pPr>
              <w:pStyle w:val="6"/>
              <w:ind w:left="0" w:leftChars="0" w:firstLine="0" w:firstLineChars="0"/>
              <w:rPr>
                <w:rFonts w:hint="eastAsia" w:ascii="宋体" w:hAnsi="宋体" w:cs="宋体"/>
                <w:sz w:val="21"/>
                <w:szCs w:val="21"/>
                <w:lang w:val="en-US" w:eastAsia="zh-CN"/>
              </w:rPr>
            </w:pPr>
            <w:r>
              <w:rPr>
                <w:rFonts w:hint="eastAsia" w:ascii="宋体" w:hAnsi="宋体" w:cs="宋体"/>
                <w:sz w:val="21"/>
                <w:szCs w:val="21"/>
                <w:lang w:val="en-US" w:eastAsia="zh-CN"/>
              </w:rPr>
              <w:t>（2）1</w:t>
            </w:r>
            <w:r>
              <w:rPr>
                <w:rFonts w:hint="eastAsia" w:ascii="宋体" w:hAnsi="宋体" w:eastAsia="宋体" w:cs="宋体"/>
                <w:sz w:val="21"/>
                <w:szCs w:val="21"/>
              </w:rPr>
              <w:t>名</w:t>
            </w:r>
            <w:r>
              <w:rPr>
                <w:rFonts w:hint="eastAsia" w:ascii="宋体" w:hAnsi="宋体" w:cs="宋体"/>
                <w:sz w:val="21"/>
                <w:szCs w:val="21"/>
                <w:lang w:eastAsia="zh-CN"/>
              </w:rPr>
              <w:t>驻场工程师同时具有</w:t>
            </w:r>
            <w:r>
              <w:rPr>
                <w:rFonts w:hint="eastAsia" w:ascii="宋体" w:hAnsi="宋体" w:cs="宋体"/>
                <w:sz w:val="21"/>
                <w:szCs w:val="21"/>
                <w:lang w:val="en-US" w:eastAsia="zh-CN"/>
              </w:rPr>
              <w:t>CCNP证书、RHCE证书</w:t>
            </w:r>
            <w:r>
              <w:rPr>
                <w:rFonts w:hint="eastAsia" w:ascii="宋体" w:hAnsi="宋体" w:cs="宋体"/>
                <w:sz w:val="21"/>
                <w:szCs w:val="21"/>
                <w:lang w:eastAsia="zh-CN"/>
              </w:rPr>
              <w:t>得</w:t>
            </w:r>
            <w:r>
              <w:rPr>
                <w:rFonts w:hint="eastAsia" w:ascii="宋体" w:hAnsi="宋体" w:cs="宋体"/>
                <w:sz w:val="21"/>
                <w:szCs w:val="21"/>
                <w:lang w:val="en-US" w:eastAsia="zh-CN"/>
              </w:rPr>
              <w:t>2分；</w:t>
            </w:r>
          </w:p>
          <w:p>
            <w:pPr>
              <w:pStyle w:val="6"/>
              <w:ind w:left="0" w:leftChars="0" w:firstLine="0" w:firstLineChars="0"/>
              <w:rPr>
                <w:rFonts w:hint="eastAsia" w:ascii="宋体" w:hAnsi="宋体" w:cs="宋体"/>
                <w:sz w:val="21"/>
                <w:szCs w:val="21"/>
                <w:lang w:eastAsia="zh-CN"/>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w:t>
            </w:r>
            <w:r>
              <w:rPr>
                <w:rFonts w:hint="eastAsia" w:ascii="宋体" w:hAnsi="宋体" w:eastAsia="宋体" w:cs="宋体"/>
                <w:sz w:val="21"/>
                <w:szCs w:val="21"/>
              </w:rPr>
              <w:t>1名安全专家同时具有高级项目经理认证资格证书、CISP证书、CISAW证书的得</w:t>
            </w:r>
            <w:r>
              <w:rPr>
                <w:rFonts w:hint="eastAsia" w:ascii="宋体" w:hAnsi="宋体" w:cs="宋体"/>
                <w:sz w:val="21"/>
                <w:szCs w:val="21"/>
                <w:lang w:val="en-US" w:eastAsia="zh-CN"/>
              </w:rPr>
              <w:t>2</w:t>
            </w:r>
            <w:r>
              <w:rPr>
                <w:rFonts w:hint="eastAsia" w:ascii="宋体" w:hAnsi="宋体" w:eastAsia="宋体" w:cs="宋体"/>
                <w:sz w:val="21"/>
                <w:szCs w:val="21"/>
              </w:rPr>
              <w:t>分</w:t>
            </w:r>
            <w:r>
              <w:rPr>
                <w:rFonts w:hint="eastAsia" w:ascii="宋体" w:hAnsi="宋体" w:cs="宋体"/>
                <w:sz w:val="21"/>
                <w:szCs w:val="21"/>
                <w:lang w:eastAsia="zh-CN"/>
              </w:rPr>
              <w:t>；</w:t>
            </w:r>
          </w:p>
          <w:p>
            <w:pPr>
              <w:pStyle w:val="6"/>
              <w:numPr>
                <w:ilvl w:val="0"/>
                <w:numId w:val="0"/>
              </w:numPr>
              <w:rPr>
                <w:rFonts w:hint="eastAsia" w:ascii="宋体" w:hAnsi="宋体" w:eastAsia="宋体" w:cs="Times New Roman"/>
                <w:szCs w:val="21"/>
                <w:lang w:val="en-US" w:eastAsia="zh-CN"/>
              </w:rPr>
            </w:pPr>
            <w:r>
              <w:rPr>
                <w:rFonts w:hint="eastAsia" w:cs="Times New Roman"/>
                <w:szCs w:val="21"/>
                <w:lang w:val="en-US" w:eastAsia="zh-CN"/>
              </w:rPr>
              <w:t>（4）</w:t>
            </w:r>
            <w:r>
              <w:rPr>
                <w:rFonts w:hint="eastAsia" w:ascii="宋体" w:hAnsi="宋体" w:eastAsia="宋体" w:cs="Times New Roman"/>
                <w:szCs w:val="21"/>
                <w:lang w:val="en-US" w:eastAsia="zh-CN"/>
              </w:rPr>
              <w:t>其他项目团队成员4名，具有CISAW或CISP证书的，每一人得1分，最高得4分。</w:t>
            </w:r>
          </w:p>
          <w:p>
            <w:pPr>
              <w:rPr>
                <w:rFonts w:hint="eastAsia" w:ascii="宋体" w:hAnsi="宋体"/>
                <w:szCs w:val="21"/>
              </w:rPr>
            </w:pPr>
            <w:r>
              <w:rPr>
                <w:rFonts w:hint="eastAsia" w:ascii="宋体" w:hAnsi="宋体"/>
                <w:b/>
                <w:szCs w:val="21"/>
              </w:rPr>
              <w:t>注：</w:t>
            </w:r>
            <w:r>
              <w:rPr>
                <w:rFonts w:hint="eastAsia" w:ascii="宋体" w:hAnsi="宋体"/>
                <w:szCs w:val="21"/>
              </w:rPr>
              <w:t>提供团队人员技术认证证书复印件或扫描件加盖投标人公章（原件备查）。提供的材料不满足要求的不得分。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9" w:type="dxa"/>
            <w:vMerge w:val="continue"/>
            <w:noWrap w:val="0"/>
            <w:vAlign w:val="center"/>
          </w:tcPr>
          <w:p>
            <w:pPr>
              <w:jc w:val="center"/>
              <w:rPr>
                <w:rFonts w:hint="eastAsia" w:ascii="宋体" w:hAnsi="宋体"/>
                <w:szCs w:val="21"/>
              </w:rPr>
            </w:pPr>
          </w:p>
        </w:tc>
        <w:tc>
          <w:tcPr>
            <w:tcW w:w="1319" w:type="dxa"/>
            <w:vMerge w:val="continue"/>
            <w:noWrap w:val="0"/>
            <w:vAlign w:val="center"/>
          </w:tcPr>
          <w:p>
            <w:pPr>
              <w:jc w:val="center"/>
              <w:rPr>
                <w:rFonts w:hint="eastAsia" w:ascii="宋体" w:hAnsi="宋体"/>
                <w:szCs w:val="21"/>
              </w:rPr>
            </w:pPr>
          </w:p>
        </w:tc>
        <w:tc>
          <w:tcPr>
            <w:tcW w:w="697" w:type="dxa"/>
            <w:noWrap w:val="0"/>
            <w:vAlign w:val="center"/>
          </w:tcPr>
          <w:p>
            <w:pPr>
              <w:tabs>
                <w:tab w:val="center" w:pos="267"/>
              </w:tabs>
              <w:jc w:val="center"/>
              <w:rPr>
                <w:rFonts w:hint="default" w:ascii="宋体" w:hAnsi="宋体" w:eastAsia="宋体"/>
                <w:szCs w:val="21"/>
                <w:lang w:val="en-US" w:eastAsia="zh-CN"/>
              </w:rPr>
            </w:pPr>
            <w:r>
              <w:rPr>
                <w:rFonts w:hint="eastAsia" w:ascii="宋体" w:hAnsi="宋体"/>
                <w:szCs w:val="21"/>
                <w:lang w:val="en-US" w:eastAsia="zh-CN"/>
              </w:rPr>
              <w:t>5</w:t>
            </w:r>
          </w:p>
        </w:tc>
        <w:tc>
          <w:tcPr>
            <w:tcW w:w="5844" w:type="dxa"/>
            <w:noWrap w:val="0"/>
            <w:vAlign w:val="center"/>
          </w:tcPr>
          <w:p>
            <w:pPr>
              <w:widowControl w:val="0"/>
              <w:adjustRightInd w:val="0"/>
              <w:snapToGrid w:val="0"/>
              <w:ind w:firstLine="0" w:firstLineChars="0"/>
              <w:jc w:val="left"/>
              <w:rPr>
                <w:rFonts w:hint="eastAsia" w:ascii="宋体" w:hAnsi="宋体" w:cs="宋体"/>
                <w:szCs w:val="21"/>
              </w:rPr>
            </w:pPr>
            <w:r>
              <w:rPr>
                <w:rFonts w:hint="eastAsia" w:ascii="宋体" w:hAnsi="宋体"/>
                <w:b/>
                <w:szCs w:val="21"/>
              </w:rPr>
              <w:t>4</w:t>
            </w:r>
            <w:r>
              <w:rPr>
                <w:rFonts w:hint="eastAsia" w:ascii="宋体" w:hAnsi="宋体"/>
                <w:b/>
                <w:szCs w:val="21"/>
                <w:lang w:val="en-US" w:eastAsia="zh-CN"/>
              </w:rPr>
              <w:t>.</w:t>
            </w:r>
            <w:r>
              <w:rPr>
                <w:rFonts w:hint="eastAsia" w:ascii="宋体" w:hAnsi="宋体"/>
                <w:b/>
                <w:szCs w:val="21"/>
              </w:rPr>
              <w:t>投标人业绩情况：</w:t>
            </w:r>
            <w:r>
              <w:rPr>
                <w:rFonts w:hint="eastAsia" w:ascii="宋体" w:hAnsi="宋体" w:cs="宋体"/>
                <w:szCs w:val="21"/>
              </w:rPr>
              <w:t>201</w:t>
            </w:r>
            <w:r>
              <w:rPr>
                <w:rFonts w:hint="eastAsia" w:ascii="宋体" w:hAnsi="宋体" w:cs="宋体"/>
                <w:szCs w:val="21"/>
                <w:lang w:val="en-US" w:eastAsia="zh-CN"/>
              </w:rPr>
              <w:t>8</w:t>
            </w:r>
            <w:r>
              <w:rPr>
                <w:rFonts w:hint="eastAsia" w:ascii="宋体" w:hAnsi="宋体" w:cs="宋体"/>
                <w:szCs w:val="21"/>
              </w:rPr>
              <w:t>年</w:t>
            </w:r>
            <w:r>
              <w:rPr>
                <w:rFonts w:hint="eastAsia" w:ascii="宋体" w:hAnsi="宋体" w:cs="宋体"/>
                <w:szCs w:val="21"/>
                <w:lang w:val="en-US" w:eastAsia="zh-CN"/>
              </w:rPr>
              <w:t>1</w:t>
            </w:r>
            <w:r>
              <w:rPr>
                <w:rFonts w:hint="eastAsia" w:ascii="宋体" w:hAnsi="宋体" w:cs="宋体"/>
                <w:szCs w:val="21"/>
              </w:rPr>
              <w:t>月1日至投标截止日（以合同签订日期为准），投标人承担过</w:t>
            </w:r>
            <w:r>
              <w:rPr>
                <w:rFonts w:hint="eastAsia" w:ascii="宋体" w:hAnsi="宋体" w:cs="宋体"/>
                <w:szCs w:val="21"/>
                <w:lang w:val="en-US" w:eastAsia="zh-CN"/>
              </w:rPr>
              <w:t>类似</w:t>
            </w:r>
            <w:r>
              <w:rPr>
                <w:rFonts w:hint="eastAsia" w:ascii="宋体" w:hAnsi="宋体" w:cs="宋体"/>
                <w:szCs w:val="21"/>
              </w:rPr>
              <w:t>项目经验的</w:t>
            </w:r>
            <w:r>
              <w:rPr>
                <w:rFonts w:hint="eastAsia" w:ascii="宋体" w:hAnsi="宋体" w:cs="宋体"/>
                <w:szCs w:val="21"/>
                <w:lang w:eastAsia="zh-CN"/>
              </w:rPr>
              <w:t>（</w:t>
            </w:r>
            <w:r>
              <w:rPr>
                <w:rFonts w:hint="eastAsia" w:ascii="宋体" w:hAnsi="宋体" w:cs="宋体"/>
                <w:szCs w:val="21"/>
                <w:lang w:val="en-US" w:eastAsia="zh-CN"/>
              </w:rPr>
              <w:t>单个项目服务期不低于一年</w:t>
            </w:r>
            <w:r>
              <w:rPr>
                <w:rFonts w:hint="eastAsia" w:ascii="宋体" w:hAnsi="宋体" w:cs="宋体"/>
                <w:szCs w:val="21"/>
                <w:lang w:eastAsia="zh-CN"/>
              </w:rPr>
              <w:t>）</w:t>
            </w:r>
            <w:r>
              <w:rPr>
                <w:rFonts w:hint="eastAsia" w:ascii="宋体" w:hAnsi="宋体" w:cs="宋体"/>
                <w:szCs w:val="21"/>
              </w:rPr>
              <w:t>：每提供一个得</w:t>
            </w:r>
            <w:r>
              <w:rPr>
                <w:rFonts w:hint="eastAsia" w:ascii="宋体" w:hAnsi="宋体" w:cs="宋体"/>
                <w:szCs w:val="21"/>
                <w:lang w:val="en-US" w:eastAsia="zh-CN"/>
              </w:rPr>
              <w:t>1</w:t>
            </w:r>
            <w:r>
              <w:rPr>
                <w:rFonts w:hint="eastAsia" w:ascii="宋体" w:hAnsi="宋体" w:cs="宋体"/>
                <w:szCs w:val="21"/>
              </w:rPr>
              <w:t>分，最高得</w:t>
            </w:r>
            <w:r>
              <w:rPr>
                <w:rFonts w:hint="eastAsia" w:ascii="宋体" w:hAnsi="宋体" w:cs="宋体"/>
                <w:szCs w:val="21"/>
                <w:lang w:val="en-US" w:eastAsia="zh-CN"/>
              </w:rPr>
              <w:t>5</w:t>
            </w:r>
            <w:r>
              <w:rPr>
                <w:rFonts w:hint="eastAsia" w:ascii="宋体" w:hAnsi="宋体" w:cs="宋体"/>
                <w:szCs w:val="21"/>
              </w:rPr>
              <w:t>分。同一项目不重复计分。</w:t>
            </w:r>
          </w:p>
          <w:p>
            <w:pPr>
              <w:rPr>
                <w:rFonts w:hint="eastAsia" w:ascii="宋体" w:hAnsi="宋体"/>
                <w:szCs w:val="21"/>
              </w:rPr>
            </w:pPr>
            <w:r>
              <w:rPr>
                <w:rFonts w:hint="eastAsia" w:ascii="宋体" w:hAnsi="宋体" w:cs="宋体"/>
                <w:szCs w:val="21"/>
                <w:lang w:eastAsia="zh-CN"/>
              </w:rPr>
              <w:t>注：</w:t>
            </w:r>
            <w:r>
              <w:rPr>
                <w:rFonts w:hint="eastAsia" w:ascii="宋体" w:hAnsi="宋体" w:cs="宋体"/>
                <w:szCs w:val="21"/>
              </w:rPr>
              <w:t>提供体现</w:t>
            </w:r>
            <w:r>
              <w:rPr>
                <w:rFonts w:hint="eastAsia" w:ascii="宋体" w:hAnsi="宋体" w:cs="宋体"/>
                <w:szCs w:val="21"/>
                <w:lang w:val="en-US" w:eastAsia="zh-CN"/>
              </w:rPr>
              <w:t>合同甲乙方、</w:t>
            </w:r>
            <w:r>
              <w:rPr>
                <w:rFonts w:hint="eastAsia" w:ascii="宋体" w:hAnsi="宋体" w:cs="宋体"/>
                <w:szCs w:val="21"/>
              </w:rPr>
              <w:t>合同</w:t>
            </w:r>
            <w:r>
              <w:rPr>
                <w:rFonts w:hint="eastAsia" w:ascii="宋体" w:hAnsi="宋体" w:cs="宋体"/>
                <w:szCs w:val="21"/>
                <w:lang w:val="en-US" w:eastAsia="zh-CN"/>
              </w:rPr>
              <w:t>时间、服务期限、</w:t>
            </w:r>
            <w:r>
              <w:rPr>
                <w:rFonts w:hint="eastAsia" w:ascii="宋体" w:hAnsi="宋体" w:cs="宋体"/>
                <w:szCs w:val="21"/>
              </w:rPr>
              <w:t>金额、服务类内容等的合同关键页</w:t>
            </w:r>
            <w:r>
              <w:rPr>
                <w:rFonts w:ascii="宋体" w:hAnsi="宋体" w:cs="宋体"/>
                <w:szCs w:val="21"/>
              </w:rPr>
              <w:t>或中标通知书</w:t>
            </w:r>
            <w:r>
              <w:rPr>
                <w:rFonts w:hint="eastAsia" w:ascii="宋体" w:hAnsi="宋体" w:cs="宋体"/>
                <w:szCs w:val="21"/>
              </w:rPr>
              <w:t>扫描件。</w:t>
            </w:r>
            <w:r>
              <w:rPr>
                <w:rFonts w:ascii="宋体" w:hAnsi="宋体" w:cs="宋体"/>
                <w:szCs w:val="21"/>
              </w:rPr>
              <w:t>不提供或者不能有效证明的，不得分。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9" w:type="dxa"/>
            <w:vMerge w:val="continue"/>
            <w:noWrap w:val="0"/>
            <w:vAlign w:val="center"/>
          </w:tcPr>
          <w:p>
            <w:pPr>
              <w:jc w:val="center"/>
              <w:rPr>
                <w:rFonts w:hint="eastAsia" w:ascii="宋体" w:hAnsi="宋体"/>
                <w:szCs w:val="21"/>
              </w:rPr>
            </w:pPr>
          </w:p>
        </w:tc>
        <w:tc>
          <w:tcPr>
            <w:tcW w:w="1319" w:type="dxa"/>
            <w:vMerge w:val="continue"/>
            <w:noWrap w:val="0"/>
            <w:vAlign w:val="center"/>
          </w:tcPr>
          <w:p>
            <w:pPr>
              <w:jc w:val="center"/>
              <w:rPr>
                <w:rFonts w:hint="eastAsia" w:ascii="宋体" w:hAnsi="宋体"/>
                <w:szCs w:val="21"/>
              </w:rPr>
            </w:pPr>
          </w:p>
        </w:tc>
        <w:tc>
          <w:tcPr>
            <w:tcW w:w="697" w:type="dxa"/>
            <w:noWrap w:val="0"/>
            <w:vAlign w:val="center"/>
          </w:tcPr>
          <w:p>
            <w:pPr>
              <w:tabs>
                <w:tab w:val="center" w:pos="267"/>
              </w:tabs>
              <w:jc w:val="center"/>
              <w:rPr>
                <w:rFonts w:hint="default" w:ascii="宋体" w:hAnsi="宋体"/>
                <w:szCs w:val="21"/>
                <w:lang w:val="en-US" w:eastAsia="zh-CN"/>
              </w:rPr>
            </w:pPr>
            <w:r>
              <w:rPr>
                <w:rFonts w:hint="eastAsia" w:ascii="宋体" w:hAnsi="宋体"/>
                <w:szCs w:val="21"/>
                <w:lang w:val="en-US" w:eastAsia="zh-CN"/>
              </w:rPr>
              <w:t>2</w:t>
            </w:r>
          </w:p>
        </w:tc>
        <w:tc>
          <w:tcPr>
            <w:tcW w:w="5844" w:type="dxa"/>
            <w:noWrap w:val="0"/>
            <w:vAlign w:val="center"/>
          </w:tcPr>
          <w:p>
            <w:pPr>
              <w:numPr>
                <w:ilvl w:val="0"/>
                <w:numId w:val="0"/>
              </w:numPr>
              <w:spacing w:line="320" w:lineRule="exact"/>
              <w:ind w:leftChars="0"/>
              <w:rPr>
                <w:rFonts w:hint="eastAsia"/>
                <w:lang w:eastAsia="zh-CN"/>
              </w:rPr>
            </w:pPr>
            <w:r>
              <w:rPr>
                <w:rFonts w:hint="eastAsia" w:ascii="宋体" w:hAnsi="宋体"/>
                <w:b/>
                <w:szCs w:val="21"/>
                <w:lang w:val="en-US" w:eastAsia="zh-CN"/>
              </w:rPr>
              <w:t>5.</w:t>
            </w:r>
            <w:r>
              <w:rPr>
                <w:rFonts w:hint="eastAsia" w:ascii="宋体" w:hAnsi="宋体" w:eastAsia="宋体" w:cs="Times New Roman"/>
                <w:b/>
                <w:szCs w:val="21"/>
                <w:lang w:eastAsia="zh-CN"/>
              </w:rPr>
              <w:t>获奖情况：</w:t>
            </w:r>
          </w:p>
          <w:p>
            <w:pPr>
              <w:numPr>
                <w:ilvl w:val="0"/>
                <w:numId w:val="0"/>
              </w:numPr>
              <w:spacing w:line="320" w:lineRule="exact"/>
              <w:ind w:leftChars="0"/>
              <w:rPr>
                <w:rFonts w:hint="eastAsia"/>
                <w:lang w:eastAsia="zh-CN"/>
              </w:rPr>
            </w:pPr>
            <w:r>
              <w:rPr>
                <w:rFonts w:hint="eastAsia"/>
                <w:lang w:eastAsia="zh-CN"/>
              </w:rPr>
              <w:t>投标人</w:t>
            </w:r>
            <w:r>
              <w:rPr>
                <w:rFonts w:hint="eastAsia"/>
              </w:rPr>
              <w:t>最近两年参加</w:t>
            </w:r>
            <w:r>
              <w:rPr>
                <w:rFonts w:hint="eastAsia"/>
                <w:lang w:val="en-US" w:eastAsia="zh-CN"/>
              </w:rPr>
              <w:t>省级及以上</w:t>
            </w:r>
            <w:r>
              <w:rPr>
                <w:rFonts w:hint="eastAsia"/>
              </w:rPr>
              <w:t>网络安全应急演练比赛，获奖</w:t>
            </w:r>
            <w:r>
              <w:rPr>
                <w:rFonts w:hint="eastAsia"/>
                <w:lang w:val="en-US" w:eastAsia="zh-CN"/>
              </w:rPr>
              <w:t>一次</w:t>
            </w:r>
            <w:r>
              <w:rPr>
                <w:rFonts w:hint="eastAsia"/>
              </w:rPr>
              <w:t>的得</w:t>
            </w:r>
            <w:r>
              <w:rPr>
                <w:rFonts w:hint="eastAsia"/>
                <w:lang w:val="en-US" w:eastAsia="zh-CN"/>
              </w:rPr>
              <w:t>1分</w:t>
            </w:r>
            <w:r>
              <w:rPr>
                <w:rFonts w:hint="eastAsia"/>
                <w:lang w:eastAsia="zh-CN"/>
              </w:rPr>
              <w:t>，</w:t>
            </w:r>
            <w:r>
              <w:rPr>
                <w:rFonts w:hint="eastAsia"/>
              </w:rPr>
              <w:t>连续两年获奖的得</w:t>
            </w:r>
            <w:r>
              <w:rPr>
                <w:rFonts w:hint="eastAsia"/>
                <w:lang w:val="en-US" w:eastAsia="zh-CN"/>
              </w:rPr>
              <w:t>2</w:t>
            </w:r>
            <w:r>
              <w:rPr>
                <w:rFonts w:hint="eastAsia"/>
              </w:rPr>
              <w:t>分</w:t>
            </w:r>
            <w:r>
              <w:rPr>
                <w:rFonts w:hint="eastAsia"/>
                <w:lang w:eastAsia="zh-CN"/>
              </w:rPr>
              <w:t>。</w:t>
            </w:r>
          </w:p>
          <w:p>
            <w:pPr>
              <w:pStyle w:val="6"/>
              <w:ind w:left="0" w:leftChars="0" w:firstLine="0" w:firstLineChars="0"/>
              <w:rPr>
                <w:rFonts w:hint="eastAsia" w:ascii="宋体" w:hAnsi="宋体" w:cs="宋体"/>
                <w:szCs w:val="21"/>
                <w:lang w:eastAsia="zh-CN"/>
              </w:rPr>
            </w:pPr>
            <w:r>
              <w:rPr>
                <w:rFonts w:hint="eastAsia" w:ascii="宋体" w:hAnsi="宋体" w:cs="宋体"/>
                <w:kern w:val="0"/>
                <w:szCs w:val="21"/>
              </w:rPr>
              <w:t>（</w:t>
            </w:r>
            <w:r>
              <w:rPr>
                <w:rFonts w:hint="eastAsia" w:ascii="宋体" w:hAnsi="宋体" w:cs="宋体"/>
                <w:kern w:val="0"/>
                <w:szCs w:val="21"/>
                <w:lang w:eastAsia="zh-CN"/>
              </w:rPr>
              <w:t>提供获奖</w:t>
            </w:r>
            <w:r>
              <w:rPr>
                <w:rFonts w:hint="eastAsia" w:ascii="宋体" w:hAnsi="宋体" w:cs="宋体"/>
                <w:kern w:val="0"/>
                <w:szCs w:val="21"/>
              </w:rPr>
              <w:t>的证明文件扫描件,未提供或不清晰无法判断的不得分）。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9" w:type="dxa"/>
            <w:vMerge w:val="continue"/>
            <w:noWrap w:val="0"/>
            <w:vAlign w:val="center"/>
          </w:tcPr>
          <w:p>
            <w:pPr>
              <w:jc w:val="center"/>
              <w:rPr>
                <w:rFonts w:hint="eastAsia" w:ascii="宋体" w:hAnsi="宋体"/>
                <w:szCs w:val="21"/>
              </w:rPr>
            </w:pPr>
          </w:p>
        </w:tc>
        <w:tc>
          <w:tcPr>
            <w:tcW w:w="1319" w:type="dxa"/>
            <w:vMerge w:val="continue"/>
            <w:noWrap w:val="0"/>
            <w:vAlign w:val="center"/>
          </w:tcPr>
          <w:p>
            <w:pPr>
              <w:jc w:val="center"/>
              <w:rPr>
                <w:rFonts w:hint="eastAsia" w:ascii="宋体" w:hAnsi="宋体"/>
                <w:szCs w:val="21"/>
              </w:rPr>
            </w:pPr>
          </w:p>
        </w:tc>
        <w:tc>
          <w:tcPr>
            <w:tcW w:w="697" w:type="dxa"/>
            <w:noWrap w:val="0"/>
            <w:vAlign w:val="center"/>
          </w:tcPr>
          <w:p>
            <w:pPr>
              <w:tabs>
                <w:tab w:val="center" w:pos="267"/>
              </w:tabs>
              <w:jc w:val="center"/>
              <w:rPr>
                <w:rFonts w:hint="eastAsia" w:ascii="宋体" w:hAnsi="宋体" w:eastAsia="宋体"/>
                <w:szCs w:val="21"/>
                <w:lang w:eastAsia="zh-CN"/>
              </w:rPr>
            </w:pPr>
            <w:r>
              <w:rPr>
                <w:rFonts w:hint="eastAsia" w:ascii="宋体" w:hAnsi="宋体"/>
                <w:szCs w:val="21"/>
                <w:lang w:val="en-US" w:eastAsia="zh-CN"/>
              </w:rPr>
              <w:t>3</w:t>
            </w:r>
          </w:p>
        </w:tc>
        <w:tc>
          <w:tcPr>
            <w:tcW w:w="5844" w:type="dxa"/>
            <w:noWrap w:val="0"/>
            <w:vAlign w:val="center"/>
          </w:tcPr>
          <w:p>
            <w:pPr>
              <w:jc w:val="left"/>
              <w:rPr>
                <w:rFonts w:ascii="宋体" w:hAnsi="宋体"/>
                <w:szCs w:val="21"/>
              </w:rPr>
            </w:pPr>
            <w:r>
              <w:rPr>
                <w:rFonts w:hint="eastAsia" w:ascii="宋体" w:hAnsi="宋体"/>
                <w:b/>
                <w:szCs w:val="21"/>
                <w:lang w:val="en-US" w:eastAsia="zh-CN"/>
              </w:rPr>
              <w:t>6.</w:t>
            </w:r>
            <w:r>
              <w:rPr>
                <w:rFonts w:hint="eastAsia" w:ascii="宋体" w:hAnsi="宋体"/>
                <w:b/>
                <w:szCs w:val="21"/>
              </w:rPr>
              <w:t>服务网点：</w:t>
            </w:r>
            <w:r>
              <w:rPr>
                <w:rFonts w:hint="eastAsia" w:ascii="宋体" w:hAnsi="宋体"/>
                <w:szCs w:val="21"/>
                <w:lang w:val="en-US" w:eastAsia="zh-CN"/>
              </w:rPr>
              <w:t>（1）</w:t>
            </w:r>
            <w:r>
              <w:rPr>
                <w:rFonts w:ascii="宋体" w:hAnsi="宋体"/>
                <w:szCs w:val="21"/>
              </w:rPr>
              <w:t>深圳供应商，或非深圳供应商但在深圳有合法注册的分公司</w:t>
            </w:r>
            <w:r>
              <w:rPr>
                <w:rFonts w:hint="eastAsia" w:ascii="宋体" w:hAnsi="宋体"/>
                <w:szCs w:val="21"/>
              </w:rPr>
              <w:t>（或</w:t>
            </w:r>
            <w:r>
              <w:rPr>
                <w:rFonts w:hint="eastAsia" w:ascii="宋体" w:hAnsi="宋体"/>
                <w:szCs w:val="21"/>
                <w:lang w:val="en-US" w:eastAsia="zh-CN"/>
              </w:rPr>
              <w:t>服务</w:t>
            </w:r>
            <w:r>
              <w:rPr>
                <w:rFonts w:hint="eastAsia" w:ascii="宋体" w:hAnsi="宋体"/>
                <w:szCs w:val="21"/>
              </w:rPr>
              <w:t>机构）</w:t>
            </w:r>
            <w:r>
              <w:rPr>
                <w:rFonts w:ascii="宋体" w:hAnsi="宋体"/>
                <w:szCs w:val="21"/>
              </w:rPr>
              <w:t>（</w:t>
            </w:r>
            <w:r>
              <w:rPr>
                <w:rFonts w:hint="eastAsia" w:ascii="宋体" w:hAnsi="宋体"/>
                <w:szCs w:val="21"/>
              </w:rPr>
              <w:t>分公司的</w:t>
            </w:r>
            <w:r>
              <w:rPr>
                <w:rFonts w:ascii="宋体" w:hAnsi="宋体"/>
                <w:szCs w:val="21"/>
              </w:rPr>
              <w:t>必须提供分公司营业执照扫描件</w:t>
            </w:r>
            <w:r>
              <w:rPr>
                <w:rFonts w:hint="eastAsia" w:ascii="宋体" w:hAnsi="宋体"/>
                <w:szCs w:val="21"/>
              </w:rPr>
              <w:t>，</w:t>
            </w:r>
            <w:r>
              <w:rPr>
                <w:rFonts w:hint="eastAsia" w:ascii="宋体" w:hAnsi="宋体"/>
                <w:szCs w:val="21"/>
                <w:lang w:val="en-US" w:eastAsia="zh-CN"/>
              </w:rPr>
              <w:t>服务</w:t>
            </w:r>
            <w:r>
              <w:rPr>
                <w:rFonts w:hint="eastAsia" w:ascii="宋体" w:hAnsi="宋体"/>
                <w:szCs w:val="21"/>
              </w:rPr>
              <w:t>机构必须同时提供服务合作合同及</w:t>
            </w:r>
            <w:r>
              <w:rPr>
                <w:rFonts w:hint="eastAsia" w:ascii="宋体" w:hAnsi="宋体"/>
                <w:szCs w:val="21"/>
                <w:lang w:val="en-US" w:eastAsia="zh-CN"/>
              </w:rPr>
              <w:t>服务</w:t>
            </w:r>
            <w:r>
              <w:rPr>
                <w:rFonts w:hint="eastAsia" w:ascii="宋体" w:hAnsi="宋体"/>
                <w:szCs w:val="21"/>
              </w:rPr>
              <w:t>机构营业执照扫描件作为得分依据</w:t>
            </w:r>
            <w:r>
              <w:rPr>
                <w:rFonts w:ascii="宋体" w:hAnsi="宋体"/>
                <w:szCs w:val="21"/>
              </w:rPr>
              <w:t>，原件备查）的，得</w:t>
            </w:r>
            <w:r>
              <w:rPr>
                <w:rFonts w:hint="eastAsia" w:ascii="宋体" w:hAnsi="宋体"/>
                <w:szCs w:val="21"/>
                <w:lang w:val="en-US" w:eastAsia="zh-CN"/>
              </w:rPr>
              <w:t>3</w:t>
            </w:r>
            <w:r>
              <w:rPr>
                <w:rFonts w:ascii="宋体" w:hAnsi="宋体"/>
                <w:szCs w:val="21"/>
              </w:rPr>
              <w:t>分；否则不得分</w:t>
            </w:r>
            <w:r>
              <w:rPr>
                <w:rFonts w:hint="eastAsia" w:ascii="宋体" w:hAnsi="宋体"/>
                <w:szCs w:val="21"/>
              </w:rPr>
              <w:t>。</w:t>
            </w:r>
          </w:p>
          <w:p>
            <w:pPr>
              <w:rPr>
                <w:rFonts w:hint="default" w:ascii="宋体" w:hAnsi="宋体"/>
                <w:szCs w:val="21"/>
                <w:lang w:val="en-US"/>
              </w:rPr>
            </w:pPr>
            <w:r>
              <w:rPr>
                <w:rFonts w:hint="eastAsia" w:ascii="宋体" w:hAnsi="宋体"/>
                <w:szCs w:val="21"/>
                <w:lang w:eastAsia="zh-CN"/>
              </w:rPr>
              <w:t>（</w:t>
            </w: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lang w:val="en-US" w:eastAsia="zh-CN"/>
              </w:rPr>
              <w:t>本地无服务机构的</w:t>
            </w:r>
            <w:r>
              <w:rPr>
                <w:rFonts w:hint="eastAsia" w:ascii="宋体" w:hAnsi="宋体"/>
                <w:szCs w:val="21"/>
              </w:rPr>
              <w:t>外地供应商承诺：中标后</w:t>
            </w:r>
            <w:r>
              <w:rPr>
                <w:rFonts w:hint="eastAsia" w:ascii="宋体" w:hAnsi="宋体"/>
                <w:szCs w:val="21"/>
                <w:lang w:val="en-US" w:eastAsia="zh-CN"/>
              </w:rPr>
              <w:t>两周内</w:t>
            </w:r>
            <w:r>
              <w:rPr>
                <w:rFonts w:hint="eastAsia" w:ascii="宋体" w:hAnsi="宋体"/>
                <w:szCs w:val="21"/>
              </w:rPr>
              <w:t>设立本地经营（服务）网点的，提供</w:t>
            </w:r>
            <w:r>
              <w:rPr>
                <w:rFonts w:hint="eastAsia" w:ascii="宋体" w:hAnsi="宋体"/>
                <w:szCs w:val="21"/>
                <w:lang w:val="en-US" w:eastAsia="zh-CN"/>
              </w:rPr>
              <w:t>加盖公司印章</w:t>
            </w:r>
            <w:r>
              <w:rPr>
                <w:rFonts w:hint="eastAsia" w:ascii="宋体" w:hAnsi="宋体"/>
                <w:szCs w:val="21"/>
              </w:rPr>
              <w:t>承诺文件（格式自定）的，</w:t>
            </w:r>
            <w:r>
              <w:rPr>
                <w:rFonts w:hint="eastAsia" w:ascii="宋体" w:hAnsi="宋体"/>
                <w:szCs w:val="21"/>
                <w:highlight w:val="none"/>
              </w:rPr>
              <w:t>得</w:t>
            </w:r>
            <w:r>
              <w:rPr>
                <w:rFonts w:hint="eastAsia" w:ascii="宋体" w:hAnsi="宋体"/>
                <w:szCs w:val="21"/>
                <w:highlight w:val="none"/>
                <w:u w:val="none"/>
                <w:lang w:val="en-US" w:eastAsia="zh-CN"/>
              </w:rPr>
              <w:t>2</w:t>
            </w:r>
            <w:r>
              <w:rPr>
                <w:rFonts w:hint="eastAsia" w:ascii="宋体" w:hAnsi="宋体"/>
                <w:szCs w:val="21"/>
                <w:highlight w:val="none"/>
              </w:rPr>
              <w:t>分；</w:t>
            </w:r>
            <w:r>
              <w:rPr>
                <w:rFonts w:hint="eastAsia" w:ascii="宋体" w:hAnsi="宋体"/>
                <w:szCs w:val="21"/>
              </w:rPr>
              <w:t>未提供承诺或承诺内容不满足要求均不得分。</w:t>
            </w:r>
          </w:p>
        </w:tc>
      </w:tr>
    </w:tbl>
    <w:p>
      <w:pPr>
        <w:ind w:firstLine="480" w:firstLineChars="200"/>
        <w:rPr>
          <w:rFonts w:hint="eastAsia" w:ascii="宋体" w:hAnsi="宋体"/>
          <w:sz w:val="24"/>
        </w:rPr>
      </w:pPr>
    </w:p>
    <w:p>
      <w:pPr>
        <w:pStyle w:val="3"/>
        <w:numPr>
          <w:ilvl w:val="0"/>
          <w:numId w:val="1"/>
        </w:numPr>
        <w:bidi w:val="0"/>
        <w:rPr>
          <w:rFonts w:hint="eastAsia"/>
          <w:b/>
          <w:sz w:val="32"/>
          <w:szCs w:val="20"/>
          <w:lang w:val="en-US" w:eastAsia="zh-CN"/>
        </w:rPr>
      </w:pPr>
      <w:bookmarkStart w:id="34" w:name="_Toc27598"/>
      <w:bookmarkStart w:id="35" w:name="_Toc8930"/>
      <w:r>
        <w:rPr>
          <w:rFonts w:hint="eastAsia"/>
          <w:b/>
          <w:sz w:val="32"/>
          <w:szCs w:val="20"/>
          <w:lang w:val="en-US" w:eastAsia="zh-CN"/>
        </w:rPr>
        <w:t>投标文件</w:t>
      </w:r>
      <w:bookmarkEnd w:id="34"/>
      <w:bookmarkEnd w:id="35"/>
    </w:p>
    <w:p>
      <w:pPr>
        <w:pStyle w:val="6"/>
        <w:keepNext w:val="0"/>
        <w:keepLines w:val="0"/>
        <w:pageBreakBefore w:val="0"/>
        <w:widowControl w:val="0"/>
        <w:kinsoku/>
        <w:wordWrap/>
        <w:overflowPunct/>
        <w:topLinePunct w:val="0"/>
        <w:autoSpaceDE/>
        <w:autoSpaceDN/>
        <w:bidi w:val="0"/>
        <w:adjustRightInd/>
        <w:snapToGrid/>
        <w:ind w:left="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投标人提供投标文件一份正本三份副本，投标文件由以下部分组成：</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目录</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投标函</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履约承诺函</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投标人情况介绍</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报价一览表</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投标人资格证明文件（非原件必须加盖公章）包括但不限于以下文件：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after="157" w:afterLines="50" w:line="5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1.营业执照或事业单位法人证（复印件或扫描件）；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after="157" w:afterLines="50" w:line="5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2.法定代表人证明书原件；</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3.法定代表人授权委托证明书原件（法人投标时无须提供）；</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4.近三年内（投标人成立不足三年的可从成立之日起算）无重大违法犯罪记录和不存在处于被禁止参与政府采购活动期限内情形的书面声明；</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5.未被列入失信被执行人、重大税收违法案件当事人名单、政府采购严重违法失信行为记录名单，投标文件中提供证明材料；</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00" w:lineRule="exact"/>
        <w:ind w:left="0" w:leftChars="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（通过“信用中国”网站(www.creditchina.gov.cn)、深圳政府采购监管网(zfcg.sz.gov.cn)、深圳信用网（www.szcredit.org.cn）等渠道查询的相关主体信用记录，必须提供每个网站查询的所有记录；)</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w:t>
      </w:r>
      <w:r>
        <w:rPr>
          <w:rFonts w:hint="eastAsia" w:ascii="仿宋_GB2312" w:hAnsi="仿宋_GB2312" w:eastAsia="仿宋_GB2312" w:cs="仿宋_GB2312"/>
          <w:b/>
          <w:bCs/>
          <w:kern w:val="2"/>
          <w:sz w:val="32"/>
          <w:szCs w:val="32"/>
          <w:lang w:val="en-US" w:eastAsia="zh-CN" w:bidi="ar-SA"/>
        </w:rPr>
        <w:t>《信息安全服务资质安全工程类》证书或《信息安全服务资质认证》证书</w:t>
      </w:r>
      <w:r>
        <w:rPr>
          <w:rFonts w:hint="eastAsia" w:ascii="仿宋_GB2312" w:hAnsi="仿宋_GB2312" w:eastAsia="仿宋_GB2312" w:cs="仿宋_GB2312"/>
          <w:kern w:val="2"/>
          <w:sz w:val="32"/>
          <w:szCs w:val="32"/>
          <w:lang w:val="en-US" w:eastAsia="zh-CN" w:bidi="ar-SA"/>
        </w:rPr>
        <w:t>，及其他本项目涉及的公司资质证明文件；</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7.本项目不接受联合体投标，不允许分包、转包（投标人提供声明函，格式自拟）；</w:t>
      </w:r>
    </w:p>
    <w:p>
      <w:pPr>
        <w:pStyle w:val="6"/>
        <w:keepNext w:val="0"/>
        <w:keepLines w:val="0"/>
        <w:pageBreakBefore w:val="0"/>
        <w:widowControl w:val="0"/>
        <w:kinsoku/>
        <w:wordWrap/>
        <w:overflowPunct/>
        <w:topLinePunct w:val="0"/>
        <w:autoSpaceDE/>
        <w:autoSpaceDN/>
        <w:bidi w:val="0"/>
        <w:spacing w:before="157" w:beforeLines="50" w:after="157" w:afterLines="50" w:line="500" w:lineRule="exact"/>
        <w:ind w:left="0" w:leftChars="0" w:firstLine="640" w:firstLineChars="200"/>
        <w:textAlignment w:val="auto"/>
        <w:rPr>
          <w:rFonts w:hint="default"/>
          <w:lang w:val="en-US" w:eastAsia="zh-CN"/>
        </w:rPr>
      </w:pPr>
      <w:r>
        <w:rPr>
          <w:rFonts w:hint="eastAsia" w:ascii="仿宋_GB2312" w:hAnsi="仿宋_GB2312" w:eastAsia="仿宋_GB2312" w:cs="仿宋_GB2312"/>
          <w:kern w:val="2"/>
          <w:sz w:val="32"/>
          <w:szCs w:val="32"/>
          <w:lang w:val="en-US" w:eastAsia="zh-CN" w:bidi="ar-SA"/>
        </w:rPr>
        <w:t>8.投标人需要提供的其他证明文件。</w:t>
      </w:r>
    </w:p>
    <w:p>
      <w:pPr>
        <w:pStyle w:val="6"/>
        <w:keepNext w:val="0"/>
        <w:keepLines w:val="0"/>
        <w:pageBreakBefore w:val="0"/>
        <w:widowControl w:val="0"/>
        <w:kinsoku/>
        <w:wordWrap/>
        <w:overflowPunct/>
        <w:topLinePunct w:val="0"/>
        <w:autoSpaceDE/>
        <w:autoSpaceDN/>
        <w:bidi w:val="0"/>
        <w:spacing w:before="157" w:beforeLines="50" w:after="157" w:afterLines="50" w:line="50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注：投标人提供的以上资料若为复印件或扫描件的需加盖公章。</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实质性响应偏离表</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用户需求偏离表</w:t>
      </w:r>
      <w:r>
        <w:rPr>
          <w:rFonts w:hint="default" w:ascii="仿宋_GB2312" w:hAnsi="仿宋_GB2312" w:eastAsia="仿宋_GB2312" w:cs="仿宋_GB2312"/>
          <w:sz w:val="32"/>
          <w:szCs w:val="32"/>
          <w:lang w:val="en-US" w:eastAsia="zh-CN"/>
        </w:rPr>
        <w:t>（格式自拟）</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详细分项报价（格式自拟）</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项目分析报告及人员</w:t>
      </w:r>
      <w:r>
        <w:rPr>
          <w:rFonts w:hint="eastAsia" w:ascii="仿宋_GB2312" w:hAnsi="仿宋_GB2312" w:eastAsia="仿宋_GB2312" w:cs="仿宋_GB2312"/>
          <w:sz w:val="32"/>
          <w:szCs w:val="32"/>
          <w:lang w:val="en-US" w:eastAsia="zh-CN"/>
        </w:rPr>
        <w:t>配置和</w:t>
      </w:r>
      <w:r>
        <w:rPr>
          <w:rFonts w:hint="default" w:ascii="仿宋_GB2312" w:hAnsi="仿宋_GB2312" w:eastAsia="仿宋_GB2312" w:cs="仿宋_GB2312"/>
          <w:sz w:val="32"/>
          <w:szCs w:val="32"/>
          <w:lang w:val="en-US" w:eastAsia="zh-CN"/>
        </w:rPr>
        <w:t>管理方案（</w:t>
      </w:r>
      <w:r>
        <w:rPr>
          <w:rFonts w:hint="eastAsia" w:ascii="仿宋_GB2312" w:hAnsi="仿宋_GB2312" w:eastAsia="仿宋_GB2312" w:cs="仿宋_GB2312"/>
          <w:sz w:val="32"/>
          <w:szCs w:val="32"/>
          <w:lang w:val="en-US" w:eastAsia="zh-CN"/>
        </w:rPr>
        <w:t>提供人员资质证明，</w:t>
      </w:r>
      <w:r>
        <w:rPr>
          <w:rFonts w:hint="default" w:ascii="仿宋_GB2312" w:hAnsi="仿宋_GB2312" w:eastAsia="仿宋_GB2312" w:cs="仿宋_GB2312"/>
          <w:sz w:val="32"/>
          <w:szCs w:val="32"/>
          <w:lang w:val="en-US" w:eastAsia="zh-CN"/>
        </w:rPr>
        <w:t>格式自拟）</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实施方案（格式自拟）</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项目的服务承诺（格式自拟）</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违约承诺及项目服务期满后的服务承诺（格式自拟）</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响应时限（格式自拟）</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项目安全保密及保障措施（格式自拟）</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投标人过往服务质量和业绩证明文件</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项目涉及或</w:t>
      </w:r>
      <w:r>
        <w:rPr>
          <w:rFonts w:hint="default" w:ascii="仿宋_GB2312" w:hAnsi="仿宋_GB2312" w:eastAsia="仿宋_GB2312" w:cs="仿宋_GB2312"/>
          <w:sz w:val="32"/>
          <w:szCs w:val="32"/>
          <w:lang w:val="en-US" w:eastAsia="zh-CN"/>
        </w:rPr>
        <w:t>投标人认为需要加以说明的其他内容</w:t>
      </w:r>
    </w:p>
    <w:p>
      <w:pPr>
        <w:pStyle w:val="3"/>
        <w:numPr>
          <w:ilvl w:val="0"/>
          <w:numId w:val="1"/>
        </w:numPr>
        <w:bidi w:val="0"/>
        <w:rPr>
          <w:rFonts w:hint="eastAsia"/>
          <w:b/>
          <w:sz w:val="32"/>
          <w:szCs w:val="20"/>
          <w:lang w:val="en-US" w:eastAsia="zh-CN"/>
        </w:rPr>
      </w:pPr>
      <w:bookmarkStart w:id="36" w:name="_Toc15739"/>
      <w:r>
        <w:rPr>
          <w:rFonts w:hint="eastAsia"/>
          <w:b/>
          <w:sz w:val="32"/>
          <w:szCs w:val="20"/>
          <w:lang w:val="en-US" w:eastAsia="zh-CN"/>
        </w:rPr>
        <w:t>其他要求</w:t>
      </w:r>
      <w:bookmarkEnd w:id="36"/>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（一）中标人应在进驻前必须提交详细</w:t>
      </w:r>
      <w:bookmarkStart w:id="37" w:name="_GoBack"/>
      <w:bookmarkEnd w:id="37"/>
      <w:r>
        <w:rPr>
          <w:rFonts w:hint="default" w:ascii="仿宋_GB2312" w:hAnsi="仿宋_GB2312" w:eastAsia="仿宋_GB2312" w:cs="仿宋_GB2312"/>
          <w:sz w:val="32"/>
          <w:szCs w:val="32"/>
          <w:lang w:val="en-US" w:eastAsia="zh-CN"/>
        </w:rPr>
        <w:t>的服务方案和计划，其中应包含本项目所要求的所有服务，和服务团队人员资料（须包括身份和资质证明）。服务团体组成人员资质及数量情况不得低于投标文件所述。</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（二）中标人应与</w:t>
      </w:r>
      <w:r>
        <w:rPr>
          <w:rFonts w:hint="eastAsia" w:ascii="仿宋_GB2312" w:hAnsi="仿宋_GB2312" w:eastAsia="仿宋_GB2312" w:cs="仿宋_GB2312"/>
          <w:sz w:val="32"/>
          <w:szCs w:val="32"/>
          <w:lang w:val="en-US" w:eastAsia="zh-CN"/>
        </w:rPr>
        <w:t>采购方</w:t>
      </w:r>
      <w:r>
        <w:rPr>
          <w:rFonts w:hint="default" w:ascii="仿宋_GB2312" w:hAnsi="仿宋_GB2312" w:eastAsia="仿宋_GB2312" w:cs="仿宋_GB2312"/>
          <w:sz w:val="32"/>
          <w:szCs w:val="32"/>
          <w:lang w:val="en-US" w:eastAsia="zh-CN"/>
        </w:rPr>
        <w:t>签署保密协议，对工作中接触的所有资料信息保密。</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（三）投标人使用的标准必须是国际公认或国家、或地方政府颁布的同等或更高的标准，如投标人使用的标准低于上述标准,评标委员会将有权不予接受，投标人必须列表将明显的差异详说明。</w:t>
      </w: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F20833"/>
    <w:multiLevelType w:val="singleLevel"/>
    <w:tmpl w:val="E9F20833"/>
    <w:lvl w:ilvl="0" w:tentative="0">
      <w:start w:val="6"/>
      <w:numFmt w:val="chineseCounting"/>
      <w:suff w:val="nothing"/>
      <w:lvlText w:val="（%1）"/>
      <w:lvlJc w:val="left"/>
      <w:rPr>
        <w:rFonts w:hint="eastAsia"/>
      </w:rPr>
    </w:lvl>
  </w:abstractNum>
  <w:abstractNum w:abstractNumId="1">
    <w:nsid w:val="F4223336"/>
    <w:multiLevelType w:val="singleLevel"/>
    <w:tmpl w:val="F4223336"/>
    <w:lvl w:ilvl="0" w:tentative="0">
      <w:start w:val="1"/>
      <w:numFmt w:val="chineseCounting"/>
      <w:suff w:val="nothing"/>
      <w:lvlText w:val="（%1）"/>
      <w:lvlJc w:val="left"/>
      <w:rPr>
        <w:rFonts w:hint="eastAsia"/>
      </w:rPr>
    </w:lvl>
  </w:abstractNum>
  <w:abstractNum w:abstractNumId="2">
    <w:nsid w:val="19C3FD41"/>
    <w:multiLevelType w:val="singleLevel"/>
    <w:tmpl w:val="19C3FD41"/>
    <w:lvl w:ilvl="0" w:tentative="0">
      <w:start w:val="2"/>
      <w:numFmt w:val="decimal"/>
      <w:lvlText w:val="%1."/>
      <w:lvlJc w:val="left"/>
      <w:pPr>
        <w:tabs>
          <w:tab w:val="left" w:pos="312"/>
        </w:tabs>
      </w:pPr>
    </w:lvl>
  </w:abstractNum>
  <w:abstractNum w:abstractNumId="3">
    <w:nsid w:val="450626C0"/>
    <w:multiLevelType w:val="singleLevel"/>
    <w:tmpl w:val="450626C0"/>
    <w:lvl w:ilvl="0" w:tentative="0">
      <w:start w:val="3"/>
      <w:numFmt w:val="decimal"/>
      <w:suff w:val="nothing"/>
      <w:lvlText w:val="（%1）"/>
      <w:lvlJc w:val="left"/>
    </w:lvl>
  </w:abstractNum>
  <w:abstractNum w:abstractNumId="4">
    <w:nsid w:val="4F4DA913"/>
    <w:multiLevelType w:val="singleLevel"/>
    <w:tmpl w:val="4F4DA913"/>
    <w:lvl w:ilvl="0" w:tentative="0">
      <w:start w:val="1"/>
      <w:numFmt w:val="chineseCounting"/>
      <w:suff w:val="nothing"/>
      <w:lvlText w:val="（%1）"/>
      <w:lvlJc w:val="left"/>
      <w:rPr>
        <w:rFonts w:hint="eastAsia"/>
      </w:rPr>
    </w:lvl>
  </w:abstractNum>
  <w:abstractNum w:abstractNumId="5">
    <w:nsid w:val="516CEB0E"/>
    <w:multiLevelType w:val="singleLevel"/>
    <w:tmpl w:val="516CEB0E"/>
    <w:lvl w:ilvl="0" w:tentative="0">
      <w:start w:val="1"/>
      <w:numFmt w:val="chineseCounting"/>
      <w:suff w:val="nothing"/>
      <w:lvlText w:val="%1、"/>
      <w:lvlJc w:val="left"/>
      <w:rPr>
        <w:rFonts w:hint="eastAsia"/>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NGE2ZjY5MjdjNjY0OTVlMTkzOWQ5NWE1MDQ4OTYifQ=="/>
  </w:docVars>
  <w:rsids>
    <w:rsidRoot w:val="22024066"/>
    <w:rsid w:val="027F5F4C"/>
    <w:rsid w:val="13A56D4D"/>
    <w:rsid w:val="172A2CF2"/>
    <w:rsid w:val="19302478"/>
    <w:rsid w:val="19CA3FFF"/>
    <w:rsid w:val="1A224662"/>
    <w:rsid w:val="1EB026B8"/>
    <w:rsid w:val="22024066"/>
    <w:rsid w:val="26EC62B5"/>
    <w:rsid w:val="27F26B31"/>
    <w:rsid w:val="2C0C39C6"/>
    <w:rsid w:val="3C7D560C"/>
    <w:rsid w:val="3DC41BB1"/>
    <w:rsid w:val="3DD5483B"/>
    <w:rsid w:val="40C51725"/>
    <w:rsid w:val="52CC12B6"/>
    <w:rsid w:val="552D5B61"/>
    <w:rsid w:val="59014A9B"/>
    <w:rsid w:val="649E7AD8"/>
    <w:rsid w:val="6D244C1E"/>
    <w:rsid w:val="6ECB0FD3"/>
    <w:rsid w:val="7D865348"/>
    <w:rsid w:val="7DB71EC3"/>
    <w:rsid w:val="7EBE6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2">
    <w:name w:val="heading 3"/>
    <w:basedOn w:val="1"/>
    <w:next w:val="1"/>
    <w:semiHidden/>
    <w:qFormat/>
    <w:uiPriority w:val="0"/>
    <w:pPr>
      <w:spacing w:before="260" w:after="260" w:line="240" w:lineRule="auto"/>
      <w:outlineLvl w:val="2"/>
    </w:pPr>
    <w:rPr>
      <w:rFonts w:ascii="宋体" w:hAnsi="宋体" w:eastAsia="宋体"/>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autoSpaceDE w:val="0"/>
      <w:autoSpaceDN w:val="0"/>
      <w:adjustRightInd w:val="0"/>
      <w:jc w:val="left"/>
      <w:textAlignment w:val="baseline"/>
    </w:pPr>
    <w:rPr>
      <w:rFonts w:ascii="宋体"/>
      <w:kern w:val="0"/>
      <w:sz w:val="34"/>
      <w:szCs w:val="20"/>
    </w:rPr>
  </w:style>
  <w:style w:type="paragraph" w:styleId="6">
    <w:name w:val="Body Text"/>
    <w:basedOn w:val="1"/>
    <w:next w:val="1"/>
    <w:qFormat/>
    <w:uiPriority w:val="1"/>
    <w:pPr>
      <w:ind w:left="497"/>
    </w:pPr>
    <w:rPr>
      <w:rFonts w:ascii="宋体" w:hAnsi="宋体" w:eastAsia="宋体" w:cs="宋体"/>
      <w:sz w:val="21"/>
      <w:szCs w:val="21"/>
      <w:lang w:val="en-US" w:eastAsia="zh-CN" w:bidi="ar-SA"/>
    </w:rPr>
  </w:style>
  <w:style w:type="paragraph" w:styleId="7">
    <w:name w:val="toc 3"/>
    <w:basedOn w:val="1"/>
    <w:next w:val="1"/>
    <w:qFormat/>
    <w:uiPriority w:val="0"/>
    <w:pPr>
      <w:ind w:left="840" w:leftChars="4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customStyle="1" w:styleId="14">
    <w:name w:val="列出段落1"/>
    <w:basedOn w:val="1"/>
    <w:qFormat/>
    <w:uiPriority w:val="0"/>
    <w:pPr>
      <w:ind w:firstLine="420" w:firstLineChars="200"/>
    </w:pPr>
    <w:rPr>
      <w:rFonts w:ascii="Times New Roman" w:hAnsi="Times New Roman"/>
    </w:rPr>
  </w:style>
  <w:style w:type="paragraph" w:customStyle="1" w:styleId="15">
    <w:name w:val="List Paragraph"/>
    <w:basedOn w:val="1"/>
    <w:qFormat/>
    <w:uiPriority w:val="0"/>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12303</Words>
  <Characters>12655</Characters>
  <Lines>0</Lines>
  <Paragraphs>0</Paragraphs>
  <TotalTime>11</TotalTime>
  <ScaleCrop>false</ScaleCrop>
  <LinksUpToDate>false</LinksUpToDate>
  <CharactersWithSpaces>12698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2020-12-30T03:29:00Z</dcterms:created>
  <dc:creator>曾宁</dc:creator>
  <cp:lastModifiedBy>61616</cp:lastModifiedBy>
  <cp:lastPrinted>2021-01-14T07:57:00Z</cp:lastPrinted>
  <dcterms:modified xsi:type="dcterms:W3CDTF">2023-03-15T06:34:49Z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F04115611611499BB068B2F29FF5E9DC</vt:lpwstr>
  </property>
</Properties>
</file>