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62CD1">
      <w:pPr>
        <w:pStyle w:val="2"/>
        <w:keepNext w:val="0"/>
        <w:keepLines w:val="0"/>
        <w:pageBreakBefore w:val="0"/>
        <w:widowControl/>
        <w:kinsoku/>
        <w:wordWrap/>
        <w:overflowPunct/>
        <w:topLinePunct w:val="0"/>
        <w:autoSpaceDE/>
        <w:autoSpaceDN/>
        <w:bidi w:val="0"/>
        <w:adjustRightInd/>
        <w:spacing w:line="560" w:lineRule="exact"/>
        <w:ind w:lef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17DC5CF4">
      <w:pPr>
        <w:widowControl/>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资格性审查表</w:t>
      </w:r>
    </w:p>
    <w:tbl>
      <w:tblPr>
        <w:tblStyle w:val="4"/>
        <w:tblW w:w="84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29"/>
        <w:gridCol w:w="7747"/>
      </w:tblGrid>
      <w:tr w14:paraId="6BDE7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20"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3D6974B9">
            <w:pPr>
              <w:jc w:val="center"/>
              <w:rPr>
                <w:rFonts w:ascii="宋体" w:hAnsi="宋体" w:cs="宋体"/>
                <w:szCs w:val="21"/>
              </w:rPr>
            </w:pPr>
            <w:r>
              <w:rPr>
                <w:rFonts w:ascii="宋体" w:hAnsi="宋体"/>
                <w:szCs w:val="21"/>
              </w:rPr>
              <w:t>序号</w:t>
            </w:r>
          </w:p>
        </w:tc>
        <w:tc>
          <w:tcPr>
            <w:tcW w:w="7747"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5117E034">
            <w:pPr>
              <w:jc w:val="center"/>
              <w:rPr>
                <w:rFonts w:ascii="宋体" w:hAnsi="宋体" w:cs="宋体"/>
                <w:szCs w:val="21"/>
              </w:rPr>
            </w:pPr>
            <w:r>
              <w:rPr>
                <w:rFonts w:ascii="宋体" w:hAnsi="宋体"/>
                <w:szCs w:val="21"/>
              </w:rPr>
              <w:t>内容</w:t>
            </w:r>
          </w:p>
        </w:tc>
      </w:tr>
      <w:tr w14:paraId="58B77B8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9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79D591C0">
            <w:pPr>
              <w:numPr>
                <w:ilvl w:val="0"/>
                <w:numId w:val="0"/>
              </w:numPr>
              <w:ind w:lef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7747" w:type="dxa"/>
            <w:tcBorders>
              <w:top w:val="single" w:color="auto" w:sz="4" w:space="0"/>
              <w:left w:val="nil"/>
              <w:bottom w:val="single" w:color="auto" w:sz="4" w:space="0"/>
              <w:right w:val="single" w:color="auto" w:sz="4" w:space="0"/>
            </w:tcBorders>
            <w:noWrap w:val="0"/>
            <w:vAlign w:val="center"/>
          </w:tcPr>
          <w:p w14:paraId="2FFB5860">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具备《</w:t>
            </w:r>
            <w:r>
              <w:rPr>
                <w:rFonts w:hint="eastAsia" w:ascii="仿宋_GB2312" w:hAnsi="仿宋_GB2312" w:eastAsia="仿宋_GB2312" w:cs="仿宋_GB2312"/>
                <w:sz w:val="21"/>
                <w:szCs w:val="21"/>
                <w:lang w:val="en-US" w:eastAsia="zh-CN"/>
              </w:rPr>
              <w:t>中国</w:t>
            </w:r>
            <w:r>
              <w:rPr>
                <w:rFonts w:hint="eastAsia" w:ascii="仿宋_GB2312" w:hAnsi="仿宋_GB2312" w:eastAsia="仿宋_GB2312" w:cs="仿宋_GB2312"/>
                <w:sz w:val="21"/>
                <w:szCs w:val="21"/>
              </w:rPr>
              <w:t>政府采购法》第二十二条规定的条件,有依法缴纳税收和社会保障资金的良好记录。无任何外资（包括港、澳、台资）背景。</w:t>
            </w:r>
            <w:r>
              <w:rPr>
                <w:rFonts w:hint="eastAsia" w:ascii="仿宋_GB2312" w:hAnsi="仿宋_GB2312" w:eastAsia="仿宋_GB2312" w:cs="仿宋_GB2312"/>
                <w:sz w:val="21"/>
                <w:szCs w:val="21"/>
                <w:lang w:val="en-US" w:eastAsia="zh-CN"/>
              </w:rPr>
              <w:t>提供在中华人民共和国境内注册的法人或其他组织的营业执照（或事业单位法人证书，或社会团体法人登记证书）、组织机构代码证、税务登记证（如已办理了多证合一，则仅需提供合证后的营业执照）</w:t>
            </w:r>
            <w:r>
              <w:rPr>
                <w:rFonts w:hint="eastAsia" w:ascii="仿宋_GB2312" w:hAnsi="仿宋_GB2312" w:eastAsia="仿宋_GB2312" w:cs="仿宋_GB2312"/>
                <w:sz w:val="21"/>
                <w:szCs w:val="21"/>
              </w:rPr>
              <w:t>；提供法定代表人、投标授权代表人、项目负责人最近一个月的社保缴纳证明</w:t>
            </w:r>
            <w:r>
              <w:rPr>
                <w:rFonts w:hint="eastAsia" w:ascii="仿宋_GB2312" w:hAnsi="仿宋_GB2312" w:eastAsia="仿宋_GB2312" w:cs="仿宋_GB2312"/>
                <w:sz w:val="21"/>
                <w:szCs w:val="21"/>
                <w:lang w:eastAsia="zh-CN"/>
              </w:rPr>
              <w:t>。</w:t>
            </w:r>
          </w:p>
        </w:tc>
      </w:tr>
      <w:tr w14:paraId="52573F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27"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41BE24AB">
            <w:pPr>
              <w:numPr>
                <w:ilvl w:val="0"/>
                <w:numId w:val="0"/>
              </w:numPr>
              <w:ind w:lef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7747" w:type="dxa"/>
            <w:tcBorders>
              <w:top w:val="single" w:color="auto" w:sz="4" w:space="0"/>
              <w:left w:val="nil"/>
              <w:bottom w:val="single" w:color="auto" w:sz="4" w:space="0"/>
              <w:right w:val="single" w:color="auto" w:sz="4" w:space="0"/>
            </w:tcBorders>
            <w:noWrap w:val="0"/>
            <w:vAlign w:val="center"/>
          </w:tcPr>
          <w:p w14:paraId="321DCE3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不存在被有关部门禁止参与政府采购活动且在有效期内的情况（由供应商在《政府采购投标及履约承诺函》中作出声明）；</w:t>
            </w:r>
          </w:p>
        </w:tc>
      </w:tr>
      <w:tr w14:paraId="20F624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27"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749B6AD1">
            <w:pPr>
              <w:numPr>
                <w:ilvl w:val="0"/>
                <w:numId w:val="0"/>
              </w:numPr>
              <w:ind w:lef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7747" w:type="dxa"/>
            <w:tcBorders>
              <w:top w:val="single" w:color="auto" w:sz="4" w:space="0"/>
              <w:left w:val="nil"/>
              <w:bottom w:val="single" w:color="auto" w:sz="4" w:space="0"/>
              <w:right w:val="single" w:color="auto" w:sz="4" w:space="0"/>
            </w:tcBorders>
            <w:noWrap w:val="0"/>
            <w:vAlign w:val="center"/>
          </w:tcPr>
          <w:p w14:paraId="46710C0D">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未被列入失信被执行人、重大税收违法案件当事人名单、政府采购严重违法失信行为记录名单（由供应商提供查询报告或结果截图）。“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w:t>
            </w:r>
          </w:p>
        </w:tc>
      </w:tr>
      <w:tr w14:paraId="1A9BEF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27"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07E21060">
            <w:pPr>
              <w:numPr>
                <w:ilvl w:val="0"/>
                <w:numId w:val="0"/>
              </w:numPr>
              <w:ind w:left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7747" w:type="dxa"/>
            <w:tcBorders>
              <w:top w:val="single" w:color="auto" w:sz="4" w:space="0"/>
              <w:left w:val="nil"/>
              <w:bottom w:val="single" w:color="auto" w:sz="4" w:space="0"/>
              <w:right w:val="single" w:color="auto" w:sz="4" w:space="0"/>
            </w:tcBorders>
            <w:noWrap w:val="0"/>
            <w:vAlign w:val="center"/>
          </w:tcPr>
          <w:p w14:paraId="7EB52019">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须具备工程监理综合资质或工程监理通信工程专业资质或信息系统工程监理服务标准贯标证书；</w:t>
            </w:r>
          </w:p>
        </w:tc>
      </w:tr>
      <w:tr w14:paraId="6F7C93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27"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14:paraId="35B1163D">
            <w:pPr>
              <w:numPr>
                <w:ilvl w:val="0"/>
                <w:numId w:val="0"/>
              </w:numPr>
              <w:ind w:left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7747" w:type="dxa"/>
            <w:tcBorders>
              <w:top w:val="single" w:color="auto" w:sz="4" w:space="0"/>
              <w:left w:val="nil"/>
              <w:bottom w:val="single" w:color="auto" w:sz="4" w:space="0"/>
              <w:right w:val="single" w:color="auto" w:sz="4" w:space="0"/>
            </w:tcBorders>
            <w:noWrap w:val="0"/>
            <w:vAlign w:val="center"/>
          </w:tcPr>
          <w:p w14:paraId="04E4B11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不属于联合体投标。</w:t>
            </w:r>
          </w:p>
        </w:tc>
      </w:tr>
    </w:tbl>
    <w:p w14:paraId="624D7F6B">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说明：投标人必须严格按照《资格性审查表》的评审内容的要求如实提供证明材料并应加盖投标人公章,对缺漏或不符合项将直接导致无效投标。</w:t>
      </w:r>
    </w:p>
    <w:p w14:paraId="196E12B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D1527F"/>
    <w:rsid w:val="4712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497"/>
    </w:pPr>
    <w:rPr>
      <w:rFonts w:ascii="宋体" w:hAnsi="宋体" w:eastAsia="宋体" w:cs="宋体"/>
      <w:sz w:val="21"/>
      <w:szCs w:val="21"/>
      <w:lang w:val="en-US" w:eastAsia="zh-CN" w:bidi="ar-SA"/>
    </w:rPr>
  </w:style>
  <w:style w:type="paragraph" w:styleId="3">
    <w:name w:val="Body Text 2"/>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2025-08-08T09:48:38Z</dcterms:created>
  <dc:creator>61616</dc:creator>
  <cp:lastModifiedBy>焚甘奥腺昂</cp:lastModifiedBy>
  <dcterms:modified xsi:type="dcterms:W3CDTF">2025-08-08T09:49:00Z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eyJoZGlkIjoiYTgxNjY2M2MzZTk0YWZmMDY3NjdjNzc0MjFmYzc0ZGEiLCJ1c2VySWQiOiIxNzE3Nzk3MTQ3In0=</vt:lpwstr>
  </property>
  <property fmtid="{D5CDD505-2E9C-101B-9397-08002B2CF9AE}" pid="4" name="ICV">
    <vt:lpwstr>02DD201C03E34A5885BE90B436BD20B2_12</vt:lpwstr>
  </property>
</Properties>
</file>