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kern w:val="2"/>
          <w:sz w:val="32"/>
          <w:szCs w:val="32"/>
          <w:lang w:val="en-US" w:eastAsia="zh-Hans" w:bidi="ar-SA"/>
        </w:rPr>
      </w:pPr>
      <w:r>
        <w:rPr>
          <w:rFonts w:hint="eastAsia" w:ascii="黑体" w:hAnsi="黑体" w:eastAsia="黑体" w:cs="黑体"/>
          <w:kern w:val="2"/>
          <w:sz w:val="32"/>
          <w:szCs w:val="32"/>
          <w:lang w:val="en-US" w:eastAsia="zh-Hans" w:bidi="ar-SA"/>
        </w:rPr>
        <w:t>附件</w:t>
      </w:r>
      <w:r>
        <w:rPr>
          <w:rFonts w:hint="eastAsia" w:ascii="黑体" w:hAnsi="黑体" w:eastAsia="黑体" w:cs="黑体"/>
          <w:kern w:val="2"/>
          <w:sz w:val="32"/>
          <w:szCs w:val="32"/>
          <w:lang w:val="en-US" w:eastAsia="zh-CN" w:bidi="ar-SA"/>
        </w:rPr>
        <w:t>1</w:t>
      </w:r>
      <w:r>
        <w:rPr>
          <w:rFonts w:hint="eastAsia" w:ascii="黑体" w:hAnsi="黑体" w:eastAsia="黑体" w:cs="黑体"/>
          <w:kern w:val="2"/>
          <w:sz w:val="32"/>
          <w:szCs w:val="32"/>
          <w:lang w:val="en-US" w:eastAsia="zh-Hans" w:bidi="ar-SA"/>
        </w:rPr>
        <w:t>：</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lang w:val="en-US" w:eastAsia="zh-CN"/>
        </w:rPr>
      </w:pPr>
      <w:r>
        <w:rPr>
          <w:rFonts w:hint="eastAsia" w:ascii="黑体" w:hAnsi="黑体" w:eastAsia="黑体" w:cs="黑体"/>
          <w:kern w:val="2"/>
          <w:sz w:val="32"/>
          <w:szCs w:val="32"/>
          <w:lang w:val="en-US" w:eastAsia="zh-CN" w:bidi="ar-SA"/>
        </w:rPr>
        <w:t>评标标准</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textAlignment w:val="auto"/>
      </w:pPr>
      <w:r>
        <w:rPr>
          <w:rFonts w:hint="eastAsia" w:ascii="方正仿宋_GB2312" w:hAnsi="方正仿宋_GB2312" w:eastAsia="方正仿宋_GB2312" w:cs="方正仿宋_GB2312"/>
          <w:b w:val="0"/>
          <w:bCs w:val="0"/>
          <w:kern w:val="2"/>
          <w:sz w:val="32"/>
          <w:szCs w:val="32"/>
          <w:u w:val="none"/>
          <w:lang w:val="en-US" w:eastAsia="zh-CN" w:bidi="ar-SA"/>
        </w:rPr>
        <w:t>本项目评标方法为：综合评分法。</w:t>
      </w:r>
    </w:p>
    <w:tbl>
      <w:tblPr>
        <w:tblStyle w:val="14"/>
        <w:tblW w:w="10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960"/>
        <w:gridCol w:w="705"/>
        <w:gridCol w:w="7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923" w:type="dxa"/>
            <w:noWrap w:val="0"/>
            <w:vAlign w:val="center"/>
          </w:tcPr>
          <w:p>
            <w:pPr>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评价指标</w:t>
            </w:r>
          </w:p>
        </w:tc>
        <w:tc>
          <w:tcPr>
            <w:tcW w:w="960" w:type="dxa"/>
            <w:noWrap w:val="0"/>
            <w:vAlign w:val="center"/>
          </w:tcPr>
          <w:p>
            <w:pPr>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指标分项</w:t>
            </w:r>
          </w:p>
        </w:tc>
        <w:tc>
          <w:tcPr>
            <w:tcW w:w="705" w:type="dxa"/>
            <w:noWrap w:val="0"/>
            <w:vAlign w:val="center"/>
          </w:tcPr>
          <w:p>
            <w:pPr>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7612" w:type="dxa"/>
            <w:noWrap w:val="0"/>
            <w:vAlign w:val="center"/>
          </w:tcPr>
          <w:p>
            <w:pPr>
              <w:spacing w:line="3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jc w:val="center"/>
        </w:trPr>
        <w:tc>
          <w:tcPr>
            <w:tcW w:w="923" w:type="dxa"/>
            <w:vMerge w:val="restart"/>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商务指标（40分)</w:t>
            </w:r>
          </w:p>
        </w:tc>
        <w:tc>
          <w:tcPr>
            <w:tcW w:w="960" w:type="dxa"/>
            <w:noWrap w:val="0"/>
            <w:vAlign w:val="center"/>
          </w:tcPr>
          <w:p>
            <w:pPr>
              <w:spacing w:line="312"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同类业绩</w:t>
            </w:r>
          </w:p>
        </w:tc>
        <w:tc>
          <w:tcPr>
            <w:tcW w:w="705" w:type="dxa"/>
            <w:noWrap w:val="0"/>
            <w:vAlign w:val="center"/>
          </w:tcPr>
          <w:p>
            <w:pPr>
              <w:keepNext w:val="0"/>
              <w:keepLines w:val="0"/>
              <w:pageBreakBefore w:val="0"/>
              <w:widowControl/>
              <w:kinsoku/>
              <w:wordWrap/>
              <w:overflowPunct/>
              <w:topLinePunct w:val="0"/>
              <w:bidi w:val="0"/>
              <w:adjustRightInd/>
              <w:snapToGrid/>
              <w:spacing w:line="312" w:lineRule="auto"/>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c>
          <w:tcPr>
            <w:tcW w:w="7612" w:type="dxa"/>
            <w:noWrap w:val="0"/>
            <w:vAlign w:val="center"/>
          </w:tcPr>
          <w:p>
            <w:pPr>
              <w:keepNext w:val="0"/>
              <w:keepLines w:val="0"/>
              <w:pageBreakBefore w:val="0"/>
              <w:widowControl/>
              <w:kinsoku/>
              <w:wordWrap/>
              <w:overflowPunct/>
              <w:topLinePunct w:val="0"/>
              <w:bidi w:val="0"/>
              <w:adjustRightInd/>
              <w:snapToGrid/>
              <w:spacing w:line="312" w:lineRule="auto"/>
              <w:ind w:firstLine="480" w:firstLineChars="200"/>
              <w:jc w:val="left"/>
              <w:textAlignment w:val="auto"/>
              <w:rPr>
                <w:rFonts w:hint="eastAsia" w:ascii="仿宋" w:hAnsi="仿宋" w:eastAsia="仿宋" w:cs="仿宋"/>
                <w:bCs w:val="0"/>
                <w:color w:val="auto"/>
                <w:kern w:val="0"/>
                <w:sz w:val="24"/>
                <w:szCs w:val="24"/>
                <w:highlight w:val="none"/>
                <w:lang w:val="en-US" w:eastAsia="zh-CN"/>
              </w:rPr>
            </w:pPr>
            <w:r>
              <w:rPr>
                <w:rFonts w:hint="eastAsia" w:ascii="仿宋" w:hAnsi="仿宋" w:eastAsia="仿宋" w:cs="仿宋"/>
                <w:color w:val="auto"/>
                <w:kern w:val="0"/>
                <w:sz w:val="24"/>
                <w:szCs w:val="24"/>
                <w:highlight w:val="none"/>
              </w:rPr>
              <w:t>根据</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自20</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年1月1日以来</w:t>
            </w:r>
            <w:r>
              <w:rPr>
                <w:rFonts w:hint="eastAsia" w:ascii="仿宋" w:hAnsi="仿宋" w:eastAsia="仿宋" w:cs="仿宋"/>
                <w:color w:val="auto"/>
                <w:kern w:val="0"/>
                <w:sz w:val="24"/>
                <w:szCs w:val="24"/>
                <w:highlight w:val="none"/>
                <w:lang w:val="en-US" w:eastAsia="zh-CN"/>
              </w:rPr>
              <w:t>承接</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业绩</w:t>
            </w:r>
            <w:r>
              <w:rPr>
                <w:rFonts w:hint="eastAsia" w:ascii="仿宋" w:hAnsi="仿宋" w:eastAsia="仿宋" w:cs="仿宋"/>
                <w:bCs w:val="0"/>
                <w:color w:val="auto"/>
                <w:kern w:val="0"/>
                <w:sz w:val="24"/>
                <w:szCs w:val="24"/>
                <w:highlight w:val="none"/>
                <w:lang w:val="en-US" w:eastAsia="zh-CN"/>
              </w:rPr>
              <w:t>进行评审（时间以符合要求的证明材料中最近日期为准）。</w:t>
            </w:r>
          </w:p>
          <w:p>
            <w:pPr>
              <w:keepNext w:val="0"/>
              <w:keepLines w:val="0"/>
              <w:pageBreakBefore w:val="0"/>
              <w:widowControl/>
              <w:kinsoku/>
              <w:wordWrap/>
              <w:overflowPunct/>
              <w:topLinePunct w:val="0"/>
              <w:bidi w:val="0"/>
              <w:adjustRightInd/>
              <w:snapToGrid/>
              <w:spacing w:line="312"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注：</w:t>
            </w:r>
            <w:r>
              <w:rPr>
                <w:rFonts w:hint="eastAsia" w:ascii="仿宋" w:hAnsi="仿宋" w:eastAsia="仿宋" w:cs="仿宋"/>
                <w:b w:val="0"/>
                <w:bCs w:val="0"/>
                <w:color w:val="auto"/>
                <w:kern w:val="0"/>
                <w:sz w:val="24"/>
                <w:szCs w:val="24"/>
                <w:highlight w:val="none"/>
                <w:lang w:val="en-US" w:eastAsia="zh-CN"/>
              </w:rPr>
              <w:t>1.提供同类型场馆（如博物馆、图书馆、史料馆、科技馆、体育馆等）项目业绩，每个得2分，最高10分。</w:t>
            </w:r>
          </w:p>
          <w:p>
            <w:pPr>
              <w:keepNext w:val="0"/>
              <w:keepLines w:val="0"/>
              <w:pageBreakBefore w:val="0"/>
              <w:widowControl/>
              <w:kinsoku/>
              <w:wordWrap/>
              <w:overflowPunct/>
              <w:topLinePunct w:val="0"/>
              <w:bidi w:val="0"/>
              <w:adjustRightInd/>
              <w:snapToGrid/>
              <w:spacing w:line="312"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2.提供其他类型项目业绩，每个1分，最高5分。</w:t>
            </w:r>
          </w:p>
          <w:p>
            <w:pPr>
              <w:keepNext w:val="0"/>
              <w:keepLines w:val="0"/>
              <w:pageBreakBefore w:val="0"/>
              <w:widowControl/>
              <w:kinsoku/>
              <w:wordWrap/>
              <w:overflowPunct/>
              <w:topLinePunct w:val="0"/>
              <w:bidi w:val="0"/>
              <w:adjustRightInd/>
              <w:snapToGrid/>
              <w:spacing w:line="312"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以上2项可累计得分，满分10分。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923" w:type="dxa"/>
            <w:vMerge w:val="continue"/>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p>
        </w:tc>
        <w:tc>
          <w:tcPr>
            <w:tcW w:w="960" w:type="dxa"/>
            <w:noWrap w:val="0"/>
            <w:vAlign w:val="center"/>
          </w:tcPr>
          <w:p>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投标人通过相关认证情况</w:t>
            </w:r>
          </w:p>
        </w:tc>
        <w:tc>
          <w:tcPr>
            <w:tcW w:w="705" w:type="dxa"/>
            <w:noWrap w:val="0"/>
            <w:vAlign w:val="center"/>
          </w:tcPr>
          <w:p>
            <w:pPr>
              <w:keepNext w:val="0"/>
              <w:keepLines w:val="0"/>
              <w:pageBreakBefore w:val="0"/>
              <w:widowControl/>
              <w:kinsoku/>
              <w:wordWrap/>
              <w:overflowPunct/>
              <w:topLinePunct w:val="0"/>
              <w:bidi w:val="0"/>
              <w:adjustRightInd/>
              <w:snapToGrid/>
              <w:spacing w:line="312" w:lineRule="auto"/>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分</w:t>
            </w:r>
          </w:p>
        </w:tc>
        <w:tc>
          <w:tcPr>
            <w:tcW w:w="761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1.投标人具有质量管理体系认证证书；（3分）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2.投标人具有环境管理体系认证证书；（3分）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highlight w:val="none"/>
                <w:lang w:val="en-US" w:eastAsia="zh-CN"/>
              </w:rPr>
              <w:t>3.投标人具有职业健康安全管理体系认证书；（3分）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923" w:type="dxa"/>
            <w:vMerge w:val="continue"/>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p>
        </w:tc>
        <w:tc>
          <w:tcPr>
            <w:tcW w:w="960" w:type="dxa"/>
            <w:noWrap w:val="0"/>
            <w:vAlign w:val="center"/>
          </w:tcPr>
          <w:p>
            <w:pPr>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投标人资格</w:t>
            </w:r>
          </w:p>
        </w:tc>
        <w:tc>
          <w:tcPr>
            <w:tcW w:w="705" w:type="dxa"/>
            <w:noWrap w:val="0"/>
            <w:vAlign w:val="center"/>
          </w:tcPr>
          <w:p>
            <w:pPr>
              <w:keepNext w:val="0"/>
              <w:keepLines w:val="0"/>
              <w:pageBreakBefore w:val="0"/>
              <w:widowControl/>
              <w:kinsoku/>
              <w:wordWrap/>
              <w:overflowPunct/>
              <w:topLinePunct w:val="0"/>
              <w:bidi w:val="0"/>
              <w:adjustRightInd/>
              <w:snapToGrid/>
              <w:spacing w:line="312" w:lineRule="auto"/>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c>
          <w:tcPr>
            <w:tcW w:w="761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1.投标人具有中国建设工程造价管理协会的工程造价咨询企业信用证书，AAA得3分，AA得1分,其他得0分；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jc w:val="center"/>
        </w:trPr>
        <w:tc>
          <w:tcPr>
            <w:tcW w:w="923" w:type="dxa"/>
            <w:vMerge w:val="continue"/>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p>
        </w:tc>
        <w:tc>
          <w:tcPr>
            <w:tcW w:w="960" w:type="dxa"/>
            <w:noWrap w:val="0"/>
            <w:vAlign w:val="center"/>
          </w:tcPr>
          <w:p>
            <w:pPr>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项目团队人员资格</w:t>
            </w:r>
          </w:p>
        </w:tc>
        <w:tc>
          <w:tcPr>
            <w:tcW w:w="705" w:type="dxa"/>
            <w:noWrap w:val="0"/>
            <w:vAlign w:val="center"/>
          </w:tcPr>
          <w:p>
            <w:pPr>
              <w:keepNext w:val="0"/>
              <w:keepLines w:val="0"/>
              <w:pageBreakBefore w:val="0"/>
              <w:widowControl/>
              <w:kinsoku/>
              <w:wordWrap/>
              <w:overflowPunct/>
              <w:topLinePunct w:val="0"/>
              <w:bidi w:val="0"/>
              <w:adjustRightInd/>
              <w:snapToGrid/>
              <w:spacing w:line="312" w:lineRule="auto"/>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761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24"/>
                <w:highlight w:val="none"/>
                <w:lang w:val="en-US" w:eastAsia="zh-CN"/>
              </w:rPr>
            </w:pPr>
            <w:r>
              <w:rPr>
                <w:rFonts w:hint="eastAsia" w:ascii="仿宋" w:hAnsi="仿宋" w:eastAsia="仿宋" w:cs="仿宋"/>
                <w:color w:val="auto"/>
                <w:kern w:val="0"/>
                <w:sz w:val="24"/>
                <w:highlight w:val="none"/>
                <w:lang w:val="en-US" w:eastAsia="zh-CN"/>
              </w:rPr>
              <w:t>所有人员需在投标单位有近三个月社保证明，如不具备，不得分。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1.1名</w:t>
            </w:r>
            <w:r>
              <w:rPr>
                <w:rFonts w:hint="default" w:ascii="仿宋" w:hAnsi="仿宋" w:eastAsia="仿宋" w:cs="仿宋"/>
                <w:b/>
                <w:bCs/>
                <w:color w:val="auto"/>
                <w:kern w:val="0"/>
                <w:sz w:val="24"/>
                <w:highlight w:val="none"/>
                <w:lang w:val="en-US" w:eastAsia="zh-CN"/>
              </w:rPr>
              <w:t>项目</w:t>
            </w:r>
            <w:r>
              <w:rPr>
                <w:rFonts w:hint="eastAsia" w:ascii="仿宋" w:hAnsi="仿宋" w:eastAsia="仿宋" w:cs="仿宋"/>
                <w:b/>
                <w:bCs/>
                <w:color w:val="auto"/>
                <w:kern w:val="0"/>
                <w:sz w:val="24"/>
                <w:highlight w:val="none"/>
                <w:lang w:val="en-US" w:eastAsia="zh-CN"/>
              </w:rPr>
              <w:t>负责人资格（8分）</w:t>
            </w:r>
            <w:r>
              <w:rPr>
                <w:rFonts w:hint="eastAsia" w:ascii="仿宋" w:hAnsi="仿宋" w:eastAsia="仿宋" w:cs="仿宋"/>
                <w:color w:val="auto"/>
                <w:kern w:val="0"/>
                <w:sz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val="0"/>
                <w:color w:val="auto"/>
                <w:kern w:val="0"/>
                <w:sz w:val="24"/>
                <w:szCs w:val="24"/>
                <w:highlight w:val="none"/>
                <w:lang w:val="en-US" w:eastAsia="zh-CN"/>
              </w:rPr>
            </w:pPr>
            <w:r>
              <w:rPr>
                <w:rFonts w:hint="eastAsia" w:ascii="仿宋" w:hAnsi="仿宋" w:eastAsia="仿宋" w:cs="仿宋"/>
                <w:color w:val="auto"/>
                <w:kern w:val="0"/>
                <w:sz w:val="24"/>
                <w:highlight w:val="none"/>
                <w:lang w:val="en-US" w:eastAsia="zh-CN"/>
              </w:rPr>
              <w:t>（1）</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一级</w:t>
            </w:r>
            <w:r>
              <w:rPr>
                <w:rFonts w:hint="default" w:ascii="仿宋" w:hAnsi="仿宋" w:eastAsia="仿宋" w:cs="仿宋"/>
                <w:color w:val="auto"/>
                <w:kern w:val="0"/>
                <w:sz w:val="24"/>
                <w:highlight w:val="none"/>
                <w:lang w:val="en-US" w:eastAsia="zh-CN"/>
              </w:rPr>
              <w:t>注册</w:t>
            </w:r>
            <w:r>
              <w:rPr>
                <w:rFonts w:hint="eastAsia" w:ascii="仿宋" w:hAnsi="仿宋" w:eastAsia="仿宋" w:cs="仿宋"/>
                <w:color w:val="auto"/>
                <w:kern w:val="0"/>
                <w:sz w:val="24"/>
                <w:highlight w:val="none"/>
                <w:lang w:val="en-US" w:eastAsia="zh-CN"/>
              </w:rPr>
              <w:t>造价师</w:t>
            </w:r>
            <w:r>
              <w:rPr>
                <w:rFonts w:hint="default" w:ascii="仿宋" w:hAnsi="仿宋" w:eastAsia="仿宋" w:cs="仿宋"/>
                <w:color w:val="auto"/>
                <w:kern w:val="0"/>
                <w:sz w:val="24"/>
                <w:highlight w:val="none"/>
                <w:lang w:val="en-US" w:eastAsia="zh-CN"/>
              </w:rPr>
              <w:t>资格</w:t>
            </w:r>
            <w:r>
              <w:rPr>
                <w:rFonts w:hint="eastAsia" w:ascii="仿宋" w:hAnsi="仿宋" w:eastAsia="仿宋" w:cs="仿宋"/>
                <w:color w:val="auto"/>
                <w:kern w:val="0"/>
                <w:sz w:val="24"/>
                <w:highlight w:val="none"/>
                <w:lang w:val="en-US" w:eastAsia="zh-CN"/>
              </w:rPr>
              <w:t>得2分,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二级</w:t>
            </w:r>
            <w:r>
              <w:rPr>
                <w:rFonts w:hint="default" w:ascii="仿宋" w:hAnsi="仿宋" w:eastAsia="仿宋" w:cs="仿宋"/>
                <w:color w:val="auto"/>
                <w:kern w:val="0"/>
                <w:sz w:val="24"/>
                <w:highlight w:val="none"/>
                <w:lang w:val="en-US" w:eastAsia="zh-CN"/>
              </w:rPr>
              <w:t>注册</w:t>
            </w:r>
            <w:r>
              <w:rPr>
                <w:rFonts w:hint="eastAsia" w:ascii="仿宋" w:hAnsi="仿宋" w:eastAsia="仿宋" w:cs="仿宋"/>
                <w:color w:val="auto"/>
                <w:kern w:val="0"/>
                <w:sz w:val="24"/>
                <w:highlight w:val="none"/>
                <w:lang w:val="en-US" w:eastAsia="zh-CN"/>
              </w:rPr>
              <w:t>造价师</w:t>
            </w:r>
            <w:r>
              <w:rPr>
                <w:rFonts w:hint="default" w:ascii="仿宋" w:hAnsi="仿宋" w:eastAsia="仿宋" w:cs="仿宋"/>
                <w:color w:val="auto"/>
                <w:kern w:val="0"/>
                <w:sz w:val="24"/>
                <w:highlight w:val="none"/>
                <w:lang w:val="en-US" w:eastAsia="zh-CN"/>
              </w:rPr>
              <w:t>资格</w:t>
            </w:r>
            <w:r>
              <w:rPr>
                <w:rFonts w:hint="eastAsia" w:ascii="仿宋" w:hAnsi="仿宋" w:eastAsia="仿宋" w:cs="仿宋"/>
                <w:color w:val="auto"/>
                <w:kern w:val="0"/>
                <w:sz w:val="24"/>
                <w:highlight w:val="none"/>
                <w:lang w:val="en-US" w:eastAsia="zh-CN"/>
              </w:rPr>
              <w:t>得1分，最高2分；（2）</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工程造价类高级工程师证书得2分，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工程造价类中级职称证书得1分，最高2分；（3）负责项目业绩经验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自20</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年1月1日以来</w:t>
            </w:r>
            <w:r>
              <w:rPr>
                <w:rFonts w:hint="eastAsia" w:ascii="仿宋" w:hAnsi="仿宋" w:eastAsia="仿宋" w:cs="仿宋"/>
                <w:color w:val="auto"/>
                <w:kern w:val="0"/>
                <w:sz w:val="24"/>
                <w:szCs w:val="24"/>
                <w:highlight w:val="none"/>
                <w:lang w:val="en-US" w:eastAsia="zh-CN"/>
              </w:rPr>
              <w:t>承接</w:t>
            </w:r>
            <w:r>
              <w:rPr>
                <w:rFonts w:hint="eastAsia" w:ascii="仿宋" w:hAnsi="仿宋" w:eastAsia="仿宋" w:cs="仿宋"/>
                <w:color w:val="auto"/>
                <w:kern w:val="0"/>
                <w:sz w:val="24"/>
                <w:szCs w:val="24"/>
                <w:highlight w:val="none"/>
              </w:rPr>
              <w:t>的同类业绩</w:t>
            </w:r>
            <w:r>
              <w:rPr>
                <w:rFonts w:hint="eastAsia" w:ascii="仿宋" w:hAnsi="仿宋" w:eastAsia="仿宋" w:cs="仿宋"/>
                <w:bCs w:val="0"/>
                <w:color w:val="auto"/>
                <w:kern w:val="0"/>
                <w:sz w:val="24"/>
                <w:szCs w:val="24"/>
                <w:highlight w:val="none"/>
                <w:lang w:val="en-US" w:eastAsia="zh-CN"/>
              </w:rPr>
              <w:t>进行评审，时间以符合要求的证明材料中最近日期为准）</w:t>
            </w:r>
            <w:r>
              <w:rPr>
                <w:rFonts w:hint="eastAsia" w:ascii="仿宋" w:hAnsi="仿宋" w:eastAsia="仿宋" w:cs="仿宋"/>
                <w:color w:val="auto"/>
                <w:kern w:val="0"/>
                <w:sz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同类型场馆（如博物馆、图书馆、史料馆、科技馆、体育馆等）项目经验，每个得2分，其他类型项目经验每个得1分，最高4分。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2.1名土建技术负责人资格（4分）</w:t>
            </w:r>
            <w:r>
              <w:rPr>
                <w:rFonts w:hint="eastAsia" w:ascii="仿宋" w:hAnsi="仿宋" w:eastAsia="仿宋" w:cs="仿宋"/>
                <w:color w:val="auto"/>
                <w:kern w:val="0"/>
                <w:sz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一级</w:t>
            </w:r>
            <w:r>
              <w:rPr>
                <w:rFonts w:hint="default" w:ascii="仿宋" w:hAnsi="仿宋" w:eastAsia="仿宋" w:cs="仿宋"/>
                <w:color w:val="auto"/>
                <w:kern w:val="0"/>
                <w:sz w:val="24"/>
                <w:highlight w:val="none"/>
                <w:lang w:val="en-US" w:eastAsia="zh-CN"/>
              </w:rPr>
              <w:t>注册</w:t>
            </w:r>
            <w:r>
              <w:rPr>
                <w:rFonts w:hint="eastAsia" w:ascii="仿宋" w:hAnsi="仿宋" w:eastAsia="仿宋" w:cs="仿宋"/>
                <w:color w:val="auto"/>
                <w:kern w:val="0"/>
                <w:sz w:val="24"/>
                <w:highlight w:val="none"/>
                <w:lang w:val="en-US" w:eastAsia="zh-CN"/>
              </w:rPr>
              <w:t>造价师</w:t>
            </w:r>
            <w:r>
              <w:rPr>
                <w:rFonts w:hint="default" w:ascii="仿宋" w:hAnsi="仿宋" w:eastAsia="仿宋" w:cs="仿宋"/>
                <w:color w:val="auto"/>
                <w:kern w:val="0"/>
                <w:sz w:val="24"/>
                <w:highlight w:val="none"/>
                <w:lang w:val="en-US" w:eastAsia="zh-CN"/>
              </w:rPr>
              <w:t>资格</w:t>
            </w:r>
            <w:r>
              <w:rPr>
                <w:rFonts w:hint="eastAsia" w:ascii="仿宋" w:hAnsi="仿宋" w:eastAsia="仿宋" w:cs="仿宋"/>
                <w:color w:val="auto"/>
                <w:kern w:val="0"/>
                <w:sz w:val="24"/>
                <w:highlight w:val="none"/>
                <w:lang w:val="en-US" w:eastAsia="zh-CN"/>
              </w:rPr>
              <w:t>（土建类方向）2分,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二级</w:t>
            </w:r>
            <w:r>
              <w:rPr>
                <w:rFonts w:hint="default" w:ascii="仿宋" w:hAnsi="仿宋" w:eastAsia="仿宋" w:cs="仿宋"/>
                <w:color w:val="auto"/>
                <w:kern w:val="0"/>
                <w:sz w:val="24"/>
                <w:highlight w:val="none"/>
                <w:lang w:val="en-US" w:eastAsia="zh-CN"/>
              </w:rPr>
              <w:t>注册造师资格</w:t>
            </w:r>
            <w:r>
              <w:rPr>
                <w:rFonts w:hint="eastAsia" w:ascii="仿宋" w:hAnsi="仿宋" w:eastAsia="仿宋" w:cs="仿宋"/>
                <w:color w:val="auto"/>
                <w:kern w:val="0"/>
                <w:sz w:val="24"/>
                <w:highlight w:val="none"/>
                <w:lang w:val="en-US" w:eastAsia="zh-CN"/>
              </w:rPr>
              <w:t>资格（土建类方向）的得1分，最高2分；（2）</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工程造价类高级工程师证书2分，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工程造价类中级职称证书1分，最高2分。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3.1名安装技术负责人资格（4分）</w:t>
            </w:r>
            <w:r>
              <w:rPr>
                <w:rFonts w:hint="eastAsia" w:ascii="仿宋" w:hAnsi="仿宋" w:eastAsia="仿宋" w:cs="仿宋"/>
                <w:color w:val="auto"/>
                <w:kern w:val="0"/>
                <w:sz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一级</w:t>
            </w:r>
            <w:r>
              <w:rPr>
                <w:rFonts w:hint="default" w:ascii="仿宋" w:hAnsi="仿宋" w:eastAsia="仿宋" w:cs="仿宋"/>
                <w:color w:val="auto"/>
                <w:kern w:val="0"/>
                <w:sz w:val="24"/>
                <w:highlight w:val="none"/>
                <w:lang w:val="en-US" w:eastAsia="zh-CN"/>
              </w:rPr>
              <w:t>注册</w:t>
            </w:r>
            <w:r>
              <w:rPr>
                <w:rFonts w:hint="eastAsia" w:ascii="仿宋" w:hAnsi="仿宋" w:eastAsia="仿宋" w:cs="仿宋"/>
                <w:color w:val="auto"/>
                <w:kern w:val="0"/>
                <w:sz w:val="24"/>
                <w:highlight w:val="none"/>
                <w:lang w:val="en-US" w:eastAsia="zh-CN"/>
              </w:rPr>
              <w:t>造价师</w:t>
            </w:r>
            <w:r>
              <w:rPr>
                <w:rFonts w:hint="default" w:ascii="仿宋" w:hAnsi="仿宋" w:eastAsia="仿宋" w:cs="仿宋"/>
                <w:color w:val="auto"/>
                <w:kern w:val="0"/>
                <w:sz w:val="24"/>
                <w:highlight w:val="none"/>
                <w:lang w:val="en-US" w:eastAsia="zh-CN"/>
              </w:rPr>
              <w:t>资格</w:t>
            </w:r>
            <w:r>
              <w:rPr>
                <w:rFonts w:hint="eastAsia" w:ascii="仿宋" w:hAnsi="仿宋" w:eastAsia="仿宋" w:cs="仿宋"/>
                <w:color w:val="auto"/>
                <w:kern w:val="0"/>
                <w:sz w:val="24"/>
                <w:highlight w:val="none"/>
                <w:lang w:val="en-US" w:eastAsia="zh-CN"/>
              </w:rPr>
              <w:t>（安装类方向）2分,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二级</w:t>
            </w:r>
            <w:r>
              <w:rPr>
                <w:rFonts w:hint="default" w:ascii="仿宋" w:hAnsi="仿宋" w:eastAsia="仿宋" w:cs="仿宋"/>
                <w:color w:val="auto"/>
                <w:kern w:val="0"/>
                <w:sz w:val="24"/>
                <w:highlight w:val="none"/>
                <w:lang w:val="en-US" w:eastAsia="zh-CN"/>
              </w:rPr>
              <w:t>注册造师资格</w:t>
            </w:r>
            <w:r>
              <w:rPr>
                <w:rFonts w:hint="eastAsia" w:ascii="仿宋" w:hAnsi="仿宋" w:eastAsia="仿宋" w:cs="仿宋"/>
                <w:color w:val="auto"/>
                <w:kern w:val="0"/>
                <w:sz w:val="24"/>
                <w:highlight w:val="none"/>
                <w:lang w:val="en-US" w:eastAsia="zh-CN"/>
              </w:rPr>
              <w:t>资格（安装类方向）的得1分，最高2分；（2）</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工程造价类高级工程师证书2分，</w:t>
            </w:r>
            <w:r>
              <w:rPr>
                <w:rFonts w:hint="default" w:ascii="仿宋" w:hAnsi="仿宋" w:eastAsia="仿宋" w:cs="仿宋"/>
                <w:color w:val="auto"/>
                <w:kern w:val="0"/>
                <w:sz w:val="24"/>
                <w:highlight w:val="none"/>
                <w:lang w:val="en-US" w:eastAsia="zh-CN"/>
              </w:rPr>
              <w:t>具备</w:t>
            </w:r>
            <w:r>
              <w:rPr>
                <w:rFonts w:hint="eastAsia" w:ascii="仿宋" w:hAnsi="仿宋" w:eastAsia="仿宋" w:cs="仿宋"/>
                <w:color w:val="auto"/>
                <w:kern w:val="0"/>
                <w:sz w:val="24"/>
                <w:highlight w:val="none"/>
                <w:lang w:val="en-US" w:eastAsia="zh-CN"/>
              </w:rPr>
              <w:t>工程造价类中级职称证书1分，最高2分。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4.其他技术人员</w:t>
            </w:r>
            <w:bookmarkStart w:id="0" w:name="OLE_LINK3"/>
            <w:r>
              <w:rPr>
                <w:rFonts w:hint="eastAsia" w:ascii="仿宋" w:hAnsi="仿宋" w:eastAsia="仿宋" w:cs="仿宋"/>
                <w:b/>
                <w:bCs/>
                <w:color w:val="auto"/>
                <w:kern w:val="0"/>
                <w:sz w:val="24"/>
                <w:highlight w:val="none"/>
                <w:lang w:val="en-US" w:eastAsia="zh-CN"/>
              </w:rPr>
              <w:t>资格（2分）</w:t>
            </w:r>
            <w:r>
              <w:rPr>
                <w:rFonts w:hint="eastAsia" w:ascii="仿宋" w:hAnsi="仿宋" w:eastAsia="仿宋" w:cs="仿宋"/>
                <w:color w:val="auto"/>
                <w:kern w:val="0"/>
                <w:sz w:val="24"/>
                <w:highlight w:val="none"/>
                <w:lang w:val="en-US" w:eastAsia="zh-CN"/>
              </w:rPr>
              <w:t>：</w:t>
            </w:r>
            <w:bookmarkEnd w:id="0"/>
            <w:r>
              <w:rPr>
                <w:rFonts w:hint="eastAsia" w:ascii="仿宋" w:hAnsi="仿宋" w:eastAsia="仿宋" w:cs="仿宋"/>
                <w:color w:val="auto"/>
                <w:kern w:val="0"/>
                <w:sz w:val="24"/>
                <w:highlight w:val="none"/>
                <w:lang w:val="en-US" w:eastAsia="zh-CN"/>
              </w:rPr>
              <w:t>每提供1名一级注册造价工程师1分，每提供1名二级注册造价工程师或造价员的0.5分，最高2分。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923" w:type="dxa"/>
            <w:vMerge w:val="restart"/>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技术指标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分）</w:t>
            </w:r>
          </w:p>
        </w:tc>
        <w:tc>
          <w:tcPr>
            <w:tcW w:w="960" w:type="dxa"/>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rPr>
              <w:t>各阶段造价咨询服务控制方案</w:t>
            </w:r>
          </w:p>
        </w:tc>
        <w:tc>
          <w:tcPr>
            <w:tcW w:w="705" w:type="dxa"/>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7612" w:type="dxa"/>
            <w:noWrap w:val="0"/>
            <w:vAlign w:val="center"/>
          </w:tcPr>
          <w:p>
            <w:pPr>
              <w:widowControl/>
              <w:spacing w:line="360" w:lineRule="auto"/>
              <w:ind w:firstLine="0" w:firstLineChars="0"/>
              <w:rPr>
                <w:rFonts w:hint="eastAsia"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对项目的各阶段造价咨询服务控制方案</w:t>
            </w:r>
            <w:r>
              <w:rPr>
                <w:rFonts w:hint="eastAsia" w:ascii="仿宋" w:hAnsi="仿宋" w:eastAsia="仿宋" w:cs="仿宋"/>
                <w:color w:val="auto"/>
                <w:kern w:val="0"/>
                <w:sz w:val="24"/>
                <w:highlight w:val="none"/>
                <w:lang w:val="en-US"/>
              </w:rPr>
              <w:t>进行评审：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评审评价为优，得8分；</w:t>
            </w:r>
            <w:bookmarkStart w:id="1" w:name="_GoBack"/>
            <w:bookmarkEnd w:id="1"/>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评审评价为良，得6分；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评审评价为中，得4分；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评审评价为差，得2分；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szCs w:val="24"/>
                <w:highlight w:val="none"/>
                <w:lang w:val="en-US" w:eastAsia="zh-CN" w:bidi="zh-CN"/>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923" w:type="dxa"/>
            <w:vMerge w:val="continue"/>
            <w:noWrap w:val="0"/>
            <w:vAlign w:val="center"/>
          </w:tcPr>
          <w:p>
            <w:pPr>
              <w:spacing w:line="380" w:lineRule="exact"/>
              <w:jc w:val="center"/>
              <w:rPr>
                <w:rFonts w:hint="eastAsia" w:ascii="仿宋" w:hAnsi="仿宋" w:eastAsia="仿宋" w:cs="仿宋"/>
                <w:color w:val="auto"/>
                <w:sz w:val="24"/>
                <w:szCs w:val="24"/>
                <w:highlight w:val="none"/>
              </w:rPr>
            </w:pPr>
          </w:p>
        </w:tc>
        <w:tc>
          <w:tcPr>
            <w:tcW w:w="960" w:type="dxa"/>
            <w:noWrap w:val="0"/>
            <w:vAlign w:val="center"/>
          </w:tcPr>
          <w:p>
            <w:pPr>
              <w:widowControl/>
              <w:spacing w:line="312" w:lineRule="auto"/>
              <w:ind w:firstLine="0" w:firstLineChars="0"/>
              <w:jc w:val="center"/>
              <w:rPr>
                <w:rFonts w:hint="eastAsia" w:ascii="仿宋" w:hAnsi="仿宋" w:eastAsia="仿宋" w:cs="仿宋"/>
                <w:color w:val="auto"/>
                <w:kern w:val="0"/>
                <w:sz w:val="24"/>
                <w:highlight w:val="none"/>
                <w:lang w:val="en-US"/>
              </w:rPr>
            </w:pPr>
            <w:r>
              <w:rPr>
                <w:rFonts w:hint="eastAsia" w:ascii="仿宋" w:hAnsi="仿宋" w:eastAsia="仿宋" w:cs="仿宋"/>
                <w:color w:val="auto"/>
                <w:kern w:val="0"/>
                <w:sz w:val="24"/>
                <w:szCs w:val="24"/>
                <w:highlight w:val="none"/>
                <w:lang w:val="en-US" w:bidi="ar"/>
              </w:rPr>
              <w:t>重难点分析</w:t>
            </w:r>
          </w:p>
          <w:p>
            <w:pPr>
              <w:spacing w:line="312" w:lineRule="auto"/>
              <w:jc w:val="center"/>
              <w:rPr>
                <w:rFonts w:hint="eastAsia" w:ascii="仿宋" w:hAnsi="仿宋" w:eastAsia="仿宋" w:cs="仿宋"/>
                <w:color w:val="auto"/>
                <w:kern w:val="0"/>
                <w:sz w:val="24"/>
                <w:szCs w:val="24"/>
                <w:highlight w:val="none"/>
                <w:lang w:val="en-US" w:eastAsia="zh-CN"/>
              </w:rPr>
            </w:pPr>
          </w:p>
        </w:tc>
        <w:tc>
          <w:tcPr>
            <w:tcW w:w="705" w:type="dxa"/>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761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szCs w:val="24"/>
                <w:highlight w:val="none"/>
                <w:lang w:val="en-US" w:bidi="ar"/>
              </w:rPr>
              <w:t>对项目重点难点进行分析，提出应对措施及提出合理化方案。根据各</w:t>
            </w:r>
            <w:r>
              <w:rPr>
                <w:rFonts w:hint="eastAsia" w:ascii="仿宋" w:hAnsi="仿宋" w:eastAsia="仿宋" w:cs="仿宋"/>
                <w:color w:val="auto"/>
                <w:kern w:val="0"/>
                <w:sz w:val="24"/>
                <w:szCs w:val="24"/>
                <w:highlight w:val="none"/>
                <w:lang w:val="en-US" w:eastAsia="zh-CN" w:bidi="ar"/>
              </w:rPr>
              <w:t>供</w:t>
            </w:r>
            <w:r>
              <w:rPr>
                <w:rFonts w:hint="eastAsia" w:ascii="仿宋" w:hAnsi="仿宋" w:eastAsia="仿宋" w:cs="仿宋"/>
                <w:color w:val="auto"/>
                <w:kern w:val="0"/>
                <w:sz w:val="24"/>
                <w:highlight w:val="none"/>
                <w:lang w:val="en-US" w:eastAsia="zh-CN"/>
              </w:rPr>
              <w:t>评审评价为优，得8分；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评审评价为良，得6分；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评审评价为中，得4分；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评审评价为差，得2分；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szCs w:val="24"/>
                <w:highlight w:val="none"/>
                <w:lang w:val="en-US" w:eastAsia="zh-CN" w:bidi="zh-CN"/>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923" w:type="dxa"/>
            <w:vMerge w:val="continue"/>
            <w:noWrap w:val="0"/>
            <w:vAlign w:val="center"/>
          </w:tcPr>
          <w:p>
            <w:pPr>
              <w:spacing w:line="380" w:lineRule="exact"/>
              <w:jc w:val="center"/>
              <w:rPr>
                <w:rFonts w:hint="eastAsia" w:ascii="仿宋" w:hAnsi="仿宋" w:eastAsia="仿宋" w:cs="仿宋"/>
                <w:color w:val="auto"/>
                <w:sz w:val="24"/>
                <w:szCs w:val="24"/>
                <w:highlight w:val="none"/>
              </w:rPr>
            </w:pPr>
          </w:p>
        </w:tc>
        <w:tc>
          <w:tcPr>
            <w:tcW w:w="960" w:type="dxa"/>
            <w:noWrap w:val="0"/>
            <w:vAlign w:val="center"/>
          </w:tcPr>
          <w:p>
            <w:pPr>
              <w:widowControl/>
              <w:spacing w:line="360" w:lineRule="auto"/>
              <w:ind w:firstLine="0" w:firstLineChars="0"/>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bidi="ar"/>
              </w:rPr>
              <w:t>造价质量保障措施</w:t>
            </w:r>
          </w:p>
        </w:tc>
        <w:tc>
          <w:tcPr>
            <w:tcW w:w="705" w:type="dxa"/>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7612" w:type="dxa"/>
            <w:noWrap w:val="0"/>
            <w:vAlign w:val="center"/>
          </w:tcPr>
          <w:p>
            <w:pPr>
              <w:widowControl/>
              <w:spacing w:line="360" w:lineRule="auto"/>
              <w:ind w:firstLine="0" w:firstLineChars="0"/>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根据供应商提供的针对本项目的造价质量保障措施进行评审：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评审评价为优，得8分；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评审评价为良，得6分；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评审评价为中，得4分；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评审评价为差，得2分；</w:t>
            </w:r>
          </w:p>
          <w:p>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zh-CN"/>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923" w:type="dxa"/>
            <w:vMerge w:val="continue"/>
            <w:noWrap w:val="0"/>
            <w:vAlign w:val="center"/>
          </w:tcPr>
          <w:p>
            <w:pPr>
              <w:spacing w:line="380" w:lineRule="exact"/>
              <w:jc w:val="center"/>
              <w:rPr>
                <w:rFonts w:hint="eastAsia" w:ascii="仿宋" w:hAnsi="仿宋" w:eastAsia="仿宋" w:cs="仿宋"/>
                <w:color w:val="auto"/>
                <w:sz w:val="24"/>
                <w:szCs w:val="24"/>
                <w:highlight w:val="none"/>
              </w:rPr>
            </w:pPr>
          </w:p>
        </w:tc>
        <w:tc>
          <w:tcPr>
            <w:tcW w:w="960" w:type="dxa"/>
            <w:shd w:val="clear" w:color="auto" w:fill="auto"/>
            <w:noWrap w:val="0"/>
            <w:vAlign w:val="center"/>
          </w:tcPr>
          <w:p>
            <w:pPr>
              <w:widowControl/>
              <w:spacing w:line="312" w:lineRule="auto"/>
              <w:ind w:firstLine="0" w:firstLineChars="0"/>
              <w:jc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bidi="ar"/>
              </w:rPr>
              <w:t>进度控制措施</w:t>
            </w:r>
          </w:p>
          <w:p>
            <w:pPr>
              <w:widowControl/>
              <w:spacing w:line="312" w:lineRule="auto"/>
              <w:ind w:firstLine="0" w:firstLineChars="0"/>
              <w:jc w:val="center"/>
              <w:rPr>
                <w:rFonts w:hint="eastAsia" w:ascii="仿宋" w:hAnsi="仿宋" w:eastAsia="仿宋" w:cs="仿宋"/>
                <w:color w:val="auto"/>
                <w:kern w:val="0"/>
                <w:sz w:val="24"/>
                <w:szCs w:val="24"/>
                <w:highlight w:val="none"/>
                <w:lang w:val="en-US" w:eastAsia="zh-CN" w:bidi="ar"/>
              </w:rPr>
            </w:pPr>
          </w:p>
        </w:tc>
        <w:tc>
          <w:tcPr>
            <w:tcW w:w="705" w:type="dxa"/>
            <w:shd w:val="clear" w:color="auto" w:fill="auto"/>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7612" w:type="dxa"/>
            <w:shd w:val="clear" w:color="auto" w:fill="auto"/>
            <w:noWrap w:val="0"/>
            <w:vAlign w:val="center"/>
          </w:tcPr>
          <w:p>
            <w:pPr>
              <w:widowControl/>
              <w:spacing w:line="360" w:lineRule="auto"/>
              <w:ind w:firstLine="0" w:firstLineChars="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szCs w:val="24"/>
                <w:highlight w:val="none"/>
                <w:lang w:val="en-US" w:bidi="ar"/>
              </w:rPr>
              <w:t xml:space="preserve">根据供应商提供本项目的进度控制措施进行评审： </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评审评价为优，得8分；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评审评价为良，得6分；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评审评价为中，得4分；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评审评价为差，得2分；</w:t>
            </w:r>
          </w:p>
          <w:p>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zh-CN"/>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923" w:type="dxa"/>
            <w:vMerge w:val="continue"/>
            <w:noWrap w:val="0"/>
            <w:vAlign w:val="center"/>
          </w:tcPr>
          <w:p>
            <w:pPr>
              <w:spacing w:line="380" w:lineRule="exact"/>
              <w:jc w:val="center"/>
              <w:rPr>
                <w:rFonts w:hint="eastAsia" w:ascii="仿宋" w:hAnsi="仿宋" w:eastAsia="仿宋" w:cs="仿宋"/>
                <w:color w:val="auto"/>
                <w:sz w:val="24"/>
                <w:szCs w:val="24"/>
                <w:highlight w:val="none"/>
              </w:rPr>
            </w:pPr>
          </w:p>
        </w:tc>
        <w:tc>
          <w:tcPr>
            <w:tcW w:w="960" w:type="dxa"/>
            <w:noWrap w:val="0"/>
            <w:vAlign w:val="center"/>
          </w:tcPr>
          <w:p>
            <w:pPr>
              <w:widowControl/>
              <w:spacing w:line="312" w:lineRule="auto"/>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bidi="ar"/>
              </w:rPr>
              <w:t>沟通与协调机制</w:t>
            </w:r>
          </w:p>
        </w:tc>
        <w:tc>
          <w:tcPr>
            <w:tcW w:w="705" w:type="dxa"/>
            <w:shd w:val="clear" w:color="auto" w:fill="auto"/>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c>
          <w:tcPr>
            <w:tcW w:w="7612" w:type="dxa"/>
            <w:shd w:val="clear" w:color="auto" w:fill="auto"/>
            <w:noWrap w:val="0"/>
            <w:vAlign w:val="center"/>
          </w:tcPr>
          <w:p>
            <w:pPr>
              <w:widowControl/>
              <w:spacing w:line="360" w:lineRule="auto"/>
              <w:ind w:firstLine="0" w:firstLineChars="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szCs w:val="24"/>
                <w:highlight w:val="none"/>
                <w:lang w:val="en-US" w:bidi="ar"/>
              </w:rPr>
              <w:t xml:space="preserve">根据供应商提供本项目的沟通与协调机制进行评审： </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评审评价为优，得8分；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评审评价为良，得6分；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评审评价为中，得4分；</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评审评价为差，得2分；</w:t>
            </w:r>
          </w:p>
          <w:p>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zh-CN"/>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923" w:type="dxa"/>
            <w:noWrap w:val="0"/>
            <w:vAlign w:val="center"/>
          </w:tcPr>
          <w:p>
            <w:pPr>
              <w:widowControl/>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价格指标</w:t>
            </w:r>
          </w:p>
          <w:p>
            <w:pPr>
              <w:widowControl/>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w:t>
            </w:r>
          </w:p>
        </w:tc>
        <w:tc>
          <w:tcPr>
            <w:tcW w:w="960" w:type="dxa"/>
            <w:noWrap w:val="0"/>
            <w:vAlign w:val="center"/>
          </w:tcPr>
          <w:p>
            <w:pPr>
              <w:widowControl/>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05" w:type="dxa"/>
            <w:noWrap w:val="0"/>
            <w:vAlign w:val="center"/>
          </w:tcPr>
          <w:p>
            <w:pPr>
              <w:tabs>
                <w:tab w:val="left" w:pos="872"/>
              </w:tabs>
              <w:spacing w:line="380" w:lineRule="exact"/>
              <w:ind w:left="-120" w:leftChars="-57" w:right="-107" w:rightChars="-51" w:firstLine="33" w:firstLineChars="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20分</w:t>
            </w:r>
          </w:p>
        </w:tc>
        <w:tc>
          <w:tcPr>
            <w:tcW w:w="7612" w:type="dxa"/>
            <w:noWrap w:val="0"/>
            <w:vAlign w:val="center"/>
          </w:tcPr>
          <w:p>
            <w:pPr>
              <w:widowControl/>
              <w:spacing w:line="360" w:lineRule="auto"/>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采用低价优先法计算，满足招标文件要求且投标价格最低的报价为满分，并以此为基准，核算相应分数。</w:t>
            </w:r>
          </w:p>
          <w:p>
            <w:pPr>
              <w:widowControl/>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2588" w:type="dxa"/>
            <w:gridSpan w:val="3"/>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综合得分</w:t>
            </w:r>
          </w:p>
        </w:tc>
        <w:tc>
          <w:tcPr>
            <w:tcW w:w="7612" w:type="dxa"/>
            <w:noWrap w:val="0"/>
            <w:vAlign w:val="center"/>
          </w:tcPr>
          <w:p>
            <w:pPr>
              <w:spacing w:line="360" w:lineRule="auto"/>
              <w:jc w:val="left"/>
              <w:rPr>
                <w:rFonts w:hint="eastAsia" w:ascii="仿宋" w:hAnsi="仿宋" w:eastAsia="仿宋" w:cs="仿宋"/>
                <w:color w:val="auto"/>
                <w:kern w:val="2"/>
                <w:sz w:val="24"/>
                <w:szCs w:val="24"/>
                <w:highlight w:val="none"/>
                <w:lang w:val="en-US" w:eastAsia="zh-CN"/>
              </w:rPr>
            </w:pPr>
          </w:p>
        </w:tc>
      </w:tr>
    </w:tbl>
    <w:p>
      <w:pPr>
        <w:pStyle w:val="7"/>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OTUwZjIzMGMzMTE4NjljYzQ1ODVjZDBjMmU2Y2YifQ=="/>
  </w:docVars>
  <w:rsids>
    <w:rsidRoot w:val="BD7DCA72"/>
    <w:rsid w:val="003D70DD"/>
    <w:rsid w:val="00793FA7"/>
    <w:rsid w:val="00FF5264"/>
    <w:rsid w:val="01B204F7"/>
    <w:rsid w:val="0229047B"/>
    <w:rsid w:val="03CA6B9C"/>
    <w:rsid w:val="03ED2573"/>
    <w:rsid w:val="04736588"/>
    <w:rsid w:val="04C47629"/>
    <w:rsid w:val="055724D4"/>
    <w:rsid w:val="0B301930"/>
    <w:rsid w:val="0B5E34D9"/>
    <w:rsid w:val="0D2939AD"/>
    <w:rsid w:val="0D705CB2"/>
    <w:rsid w:val="102672D1"/>
    <w:rsid w:val="166266B4"/>
    <w:rsid w:val="1A0E0D78"/>
    <w:rsid w:val="1B3F540B"/>
    <w:rsid w:val="1BF10C6C"/>
    <w:rsid w:val="1FA76555"/>
    <w:rsid w:val="25B81DE4"/>
    <w:rsid w:val="2927649A"/>
    <w:rsid w:val="29C94E1D"/>
    <w:rsid w:val="2A21766B"/>
    <w:rsid w:val="2BF019DA"/>
    <w:rsid w:val="2D8F744A"/>
    <w:rsid w:val="2E332C3C"/>
    <w:rsid w:val="2EEF2816"/>
    <w:rsid w:val="34885742"/>
    <w:rsid w:val="369F780C"/>
    <w:rsid w:val="37625556"/>
    <w:rsid w:val="39D31A4D"/>
    <w:rsid w:val="39F33E62"/>
    <w:rsid w:val="3AFF76A9"/>
    <w:rsid w:val="42004F9F"/>
    <w:rsid w:val="420F684A"/>
    <w:rsid w:val="42315F84"/>
    <w:rsid w:val="426903F9"/>
    <w:rsid w:val="4574093F"/>
    <w:rsid w:val="4A5A50B5"/>
    <w:rsid w:val="4E3D51E7"/>
    <w:rsid w:val="52AA2821"/>
    <w:rsid w:val="53F349CF"/>
    <w:rsid w:val="568965D9"/>
    <w:rsid w:val="56CA6C28"/>
    <w:rsid w:val="586F6B33"/>
    <w:rsid w:val="5E5E70BA"/>
    <w:rsid w:val="5EAC3370"/>
    <w:rsid w:val="62A07A36"/>
    <w:rsid w:val="637F5112"/>
    <w:rsid w:val="64E23F69"/>
    <w:rsid w:val="66567D8E"/>
    <w:rsid w:val="672542C6"/>
    <w:rsid w:val="6A8725DB"/>
    <w:rsid w:val="6E201C80"/>
    <w:rsid w:val="71760E5C"/>
    <w:rsid w:val="735310F9"/>
    <w:rsid w:val="73F465DE"/>
    <w:rsid w:val="743429C8"/>
    <w:rsid w:val="744F1417"/>
    <w:rsid w:val="75FA3FCB"/>
    <w:rsid w:val="7633175E"/>
    <w:rsid w:val="78496375"/>
    <w:rsid w:val="78CB3E72"/>
    <w:rsid w:val="7C746764"/>
    <w:rsid w:val="7F691673"/>
    <w:rsid w:val="7FBB2549"/>
    <w:rsid w:val="BD7DCA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link w:val="20"/>
    <w:qFormat/>
    <w:uiPriority w:val="0"/>
    <w:pPr>
      <w:ind w:firstLine="420"/>
    </w:pPr>
    <w:rPr>
      <w:szCs w:val="20"/>
    </w:rPr>
  </w:style>
  <w:style w:type="paragraph" w:styleId="7">
    <w:name w:val="annotation text"/>
    <w:basedOn w:val="1"/>
    <w:qFormat/>
    <w:uiPriority w:val="0"/>
    <w:pPr>
      <w:jc w:val="left"/>
    </w:pPr>
    <w:rPr>
      <w:rFonts w:eastAsia="宋体"/>
      <w:kern w:val="2"/>
      <w:sz w:val="21"/>
      <w:szCs w:val="24"/>
      <w:lang w:val="en-US" w:eastAsia="zh-CN" w:bidi="ar-SA"/>
    </w:rPr>
  </w:style>
  <w:style w:type="paragraph" w:styleId="8">
    <w:name w:val="Body Text"/>
    <w:basedOn w:val="1"/>
    <w:next w:val="1"/>
    <w:link w:val="21"/>
    <w:qFormat/>
    <w:uiPriority w:val="1"/>
    <w:pPr>
      <w:ind w:left="497"/>
    </w:pPr>
    <w:rPr>
      <w:rFonts w:ascii="宋体" w:hAnsi="宋体" w:eastAsia="宋体" w:cs="宋体"/>
      <w:sz w:val="21"/>
      <w:szCs w:val="21"/>
      <w:lang w:val="en-US" w:eastAsia="zh-CN" w:bidi="ar-SA"/>
    </w:rPr>
  </w:style>
  <w:style w:type="paragraph" w:styleId="9">
    <w:name w:val="Plain Text"/>
    <w:basedOn w:val="1"/>
    <w:qFormat/>
    <w:uiPriority w:val="0"/>
    <w:rPr>
      <w:rFonts w:ascii="Courier New"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2"/>
    <w:basedOn w:val="1"/>
    <w:unhideWhenUsed/>
    <w:qFormat/>
    <w:uiPriority w:val="0"/>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Normal Indent1"/>
    <w:basedOn w:val="1"/>
    <w:qFormat/>
    <w:uiPriority w:val="99"/>
    <w:pPr>
      <w:spacing w:line="360" w:lineRule="auto"/>
      <w:ind w:firstLine="200" w:firstLineChars="200"/>
    </w:pPr>
  </w:style>
  <w:style w:type="paragraph" w:customStyle="1" w:styleId="19">
    <w:name w:val="正文缩进1"/>
    <w:basedOn w:val="1"/>
    <w:qFormat/>
    <w:uiPriority w:val="0"/>
    <w:pPr>
      <w:ind w:firstLine="420" w:firstLineChars="200"/>
    </w:pPr>
    <w:rPr>
      <w:rFonts w:ascii="Times New Roman" w:hAnsi="Times New Roman"/>
    </w:rPr>
  </w:style>
  <w:style w:type="character" w:customStyle="1" w:styleId="20">
    <w:name w:val="正文缩进 Char"/>
    <w:link w:val="6"/>
    <w:qFormat/>
    <w:uiPriority w:val="0"/>
    <w:rPr>
      <w:szCs w:val="20"/>
    </w:rPr>
  </w:style>
  <w:style w:type="character" w:customStyle="1" w:styleId="21">
    <w:name w:val="正文文本 Char"/>
    <w:link w:val="8"/>
    <w:qFormat/>
    <w:uiPriority w:val="1"/>
    <w:rPr>
      <w:rFonts w:ascii="宋体" w:hAnsi="宋体" w:eastAsia="宋体" w:cs="宋体"/>
      <w:sz w:val="21"/>
      <w:szCs w:val="21"/>
      <w:lang w:val="en-US" w:eastAsia="zh-CN" w:bidi="ar-SA"/>
    </w:rPr>
  </w:style>
  <w:style w:type="paragraph" w:customStyle="1" w:styleId="2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3">
    <w:name w:val="！表格内容"/>
    <w:basedOn w:val="1"/>
    <w:qFormat/>
    <w:uiPriority w:val="0"/>
    <w:pPr>
      <w:spacing w:line="320" w:lineRule="atLeast"/>
    </w:pPr>
  </w:style>
  <w:style w:type="character" w:customStyle="1" w:styleId="24">
    <w:name w:val="font3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1897</Words>
  <Characters>1915</Characters>
  <Lines>0</Lines>
  <Paragraphs>0</Paragraphs>
  <TotalTime>0</TotalTime>
  <ScaleCrop>false</ScaleCrop>
  <LinksUpToDate>false</LinksUpToDate>
  <CharactersWithSpaces>1919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2023-04-20T09:53:00Z</dcterms:created>
  <dc:creator>18607669045</dc:creator>
  <cp:lastModifiedBy>QS</cp:lastModifiedBy>
  <cp:lastPrinted>2025-10-29T01:14:00Z</cp:lastPrinted>
  <dcterms:modified xsi:type="dcterms:W3CDTF">2025-10-30T07:18:44Z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1633CA18F20340B895144B538291EE32_13</vt:lpwstr>
  </property>
  <property fmtid="{D5CDD505-2E9C-101B-9397-08002B2CF9AE}" pid="4" name="KSOTemplateDocerSaveRecord">
    <vt:lpwstr>eyJoZGlkIjoiMmNjOTcwOTRkMmM4MGZkOTk4YTdlZmIzMzYwMzRjYmUiLCJ1c2VySWQiOiI1MjQzMjQxOTYifQ==</vt:lpwstr>
  </property>
</Properties>
</file>